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b/>
          <w:bCs/>
          <w:sz w:val="24"/>
          <w:szCs w:val="24"/>
          <w:u w:val="none"/>
          <w:lang w:val="en-US"/>
        </w:rPr>
      </w:pPr>
    </w:p>
    <w:p>
      <w:pPr>
        <w:spacing w:line="360" w:lineRule="auto"/>
        <w:jc w:val="center"/>
        <w:rPr>
          <w:rFonts w:hint="default" w:ascii="Times New Roman" w:hAnsi="Times New Roman"/>
          <w:b/>
          <w:bCs/>
          <w:sz w:val="24"/>
          <w:szCs w:val="24"/>
          <w:u w:val="none"/>
          <w:lang w:val="en-US"/>
        </w:rPr>
      </w:pPr>
    </w:p>
    <w:p>
      <w:pPr>
        <w:spacing w:line="360" w:lineRule="auto"/>
        <w:jc w:val="center"/>
        <w:rPr>
          <w:rFonts w:hint="default" w:ascii="Times New Roman" w:hAnsi="Times New Roman"/>
          <w:b/>
          <w:bCs/>
          <w:sz w:val="24"/>
          <w:szCs w:val="24"/>
          <w:u w:val="none"/>
          <w:lang w:val="en-US"/>
        </w:rPr>
      </w:pPr>
    </w:p>
    <w:p>
      <w:pPr>
        <w:spacing w:line="360" w:lineRule="auto"/>
        <w:jc w:val="center"/>
        <w:rPr>
          <w:rFonts w:hint="default" w:ascii="Times New Roman" w:hAnsi="Times New Roman"/>
          <w:b/>
          <w:bCs/>
          <w:sz w:val="24"/>
          <w:szCs w:val="24"/>
          <w:u w:val="none"/>
          <w:lang w:val="en-US"/>
        </w:rPr>
      </w:pPr>
    </w:p>
    <w:p>
      <w:pPr>
        <w:spacing w:line="360" w:lineRule="auto"/>
        <w:jc w:val="center"/>
        <w:rPr>
          <w:rFonts w:hint="default" w:ascii="Times New Roman" w:hAnsi="Times New Roman"/>
          <w:b/>
          <w:bCs/>
          <w:sz w:val="24"/>
          <w:szCs w:val="24"/>
          <w:u w:val="none"/>
          <w:lang w:val="en-US"/>
        </w:rPr>
      </w:pPr>
      <w:r>
        <w:rPr>
          <w:rFonts w:hint="default" w:ascii="Times New Roman" w:hAnsi="Times New Roman"/>
          <w:b/>
          <w:bCs/>
          <w:sz w:val="24"/>
          <w:szCs w:val="24"/>
          <w:u w:val="none"/>
          <w:lang w:val="en-US"/>
        </w:rPr>
        <w:t>Case Study: What is a Policy Revision Evaluation?</w:t>
      </w:r>
    </w:p>
    <w:p>
      <w:pPr>
        <w:spacing w:line="480" w:lineRule="auto"/>
        <w:ind w:firstLine="720"/>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 Name</w:t>
      </w: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w:t>
      </w: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w:t>
      </w:r>
    </w:p>
    <w:p>
      <w:pPr>
        <w:spacing w:line="480" w:lineRule="auto"/>
        <w:ind w:firstLine="720"/>
        <w:jc w:val="center"/>
        <w:rPr>
          <w:rFonts w:hint="default" w:ascii="Times New Roman" w:hAnsi="Times New Roman" w:cs="Times New Roman"/>
          <w:sz w:val="24"/>
          <w:szCs w:val="24"/>
          <w:lang w:val="en-US"/>
        </w:rPr>
      </w:pPr>
      <w:r>
        <w:rPr>
          <w:rFonts w:ascii="Times New Roman" w:hAnsi="Times New Roman" w:cs="Times New Roman"/>
          <w:sz w:val="24"/>
          <w:szCs w:val="24"/>
        </w:rPr>
        <w:t>Due date</w:t>
      </w:r>
      <w:r>
        <w:rPr>
          <w:rFonts w:hint="default" w:ascii="Times New Roman" w:hAnsi="Times New Roman" w:cs="Times New Roman"/>
          <w:sz w:val="24"/>
          <w:szCs w:val="24"/>
          <w:lang w:val="en-US"/>
        </w:rPr>
        <w:t>: 13-09-2023</w:t>
      </w: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center"/>
        <w:rPr>
          <w:rFonts w:hint="default" w:ascii="Times New Roman" w:hAnsi="Times New Roman"/>
          <w:b/>
          <w:bCs/>
          <w:sz w:val="24"/>
          <w:szCs w:val="24"/>
          <w:u w:val="single"/>
          <w:lang w:val="en-US"/>
        </w:rPr>
      </w:pPr>
    </w:p>
    <w:p>
      <w:pPr>
        <w:spacing w:line="360" w:lineRule="auto"/>
        <w:jc w:val="both"/>
        <w:rPr>
          <w:rFonts w:hint="default" w:ascii="Times New Roman" w:hAnsi="Times New Roman"/>
          <w:b/>
          <w:bCs/>
          <w:sz w:val="24"/>
          <w:szCs w:val="24"/>
          <w:u w:val="single"/>
          <w:lang w:val="en-US"/>
        </w:rPr>
      </w:pPr>
    </w:p>
    <w:p>
      <w:pPr>
        <w:spacing w:line="480" w:lineRule="auto"/>
        <w:jc w:val="center"/>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Case Study: What is a Policy Revision Evaluation?</w:t>
      </w:r>
    </w:p>
    <w:p>
      <w:pPr>
        <w:spacing w:line="480" w:lineRule="auto"/>
        <w:ind w:firstLine="720" w:firstLineChars="0"/>
        <w:jc w:val="left"/>
        <w:rPr>
          <w:rFonts w:hint="default" w:ascii="Times New Roman" w:hAnsi="Times New Roman" w:eastAsia="sans-serif"/>
          <w:i w:val="0"/>
          <w:iCs w:val="0"/>
          <w:caps w:val="0"/>
          <w:color w:val="auto"/>
          <w:spacing w:val="0"/>
          <w:sz w:val="24"/>
          <w:szCs w:val="24"/>
          <w:shd w:val="clear" w:fill="FFFFFF"/>
        </w:rPr>
      </w:pPr>
      <w:r>
        <w:rPr>
          <w:rFonts w:hint="default" w:ascii="Times New Roman" w:hAnsi="Times New Roman" w:eastAsia="sans-serif"/>
          <w:i w:val="0"/>
          <w:iCs w:val="0"/>
          <w:caps w:val="0"/>
          <w:color w:val="auto"/>
          <w:spacing w:val="0"/>
          <w:sz w:val="24"/>
          <w:szCs w:val="24"/>
          <w:shd w:val="clear" w:fill="FFFFFF"/>
        </w:rPr>
        <w:t>The process of examining, assessing, updating</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or changing current policies to ensure they remain effective, relevant and aligned with the aims and priorities of an organisation, government</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 xml:space="preserve">or institution is </w:t>
      </w:r>
      <w:r>
        <w:rPr>
          <w:rFonts w:hint="default" w:ascii="Times New Roman" w:hAnsi="Times New Roman" w:eastAsia="sans-serif"/>
          <w:i w:val="0"/>
          <w:iCs w:val="0"/>
          <w:caps w:val="0"/>
          <w:color w:val="auto"/>
          <w:spacing w:val="0"/>
          <w:sz w:val="24"/>
          <w:szCs w:val="24"/>
          <w:shd w:val="clear" w:fill="FFFFFF"/>
          <w:lang w:val="en-US"/>
        </w:rPr>
        <w:t>called</w:t>
      </w:r>
      <w:r>
        <w:rPr>
          <w:rFonts w:hint="default" w:ascii="Times New Roman" w:hAnsi="Times New Roman" w:eastAsia="sans-serif"/>
          <w:i w:val="0"/>
          <w:iCs w:val="0"/>
          <w:caps w:val="0"/>
          <w:color w:val="auto"/>
          <w:spacing w:val="0"/>
          <w:sz w:val="24"/>
          <w:szCs w:val="24"/>
          <w:shd w:val="clear" w:fill="FFFFFF"/>
        </w:rPr>
        <w:t xml:space="preserve"> policy revision and </w:t>
      </w:r>
      <w:r>
        <w:rPr>
          <w:rFonts w:hint="default" w:ascii="Times New Roman" w:hAnsi="Times New Roman" w:eastAsia="sans-serif"/>
          <w:i w:val="0"/>
          <w:iCs w:val="0"/>
          <w:caps w:val="0"/>
          <w:color w:val="auto"/>
          <w:spacing w:val="0"/>
          <w:sz w:val="24"/>
          <w:szCs w:val="24"/>
          <w:shd w:val="clear" w:fill="FFFFFF"/>
          <w:lang w:val="en-US"/>
        </w:rPr>
        <w:t>evaluation</w:t>
      </w:r>
      <w:r>
        <w:rPr>
          <w:rFonts w:hint="default" w:ascii="Times New Roman" w:hAnsi="Times New Roman" w:eastAsia="sans-serif"/>
          <w:i w:val="0"/>
          <w:iCs w:val="0"/>
          <w:caps w:val="0"/>
          <w:color w:val="auto"/>
          <w:spacing w:val="0"/>
          <w:sz w:val="24"/>
          <w:szCs w:val="24"/>
          <w:shd w:val="clear" w:fill="FFFFFF"/>
        </w:rPr>
        <w:t>.</w:t>
      </w:r>
      <w:r>
        <w:rPr>
          <w:rFonts w:hint="default" w:ascii="Times New Roman" w:hAnsi="Times New Roman" w:eastAsia="sans-serif"/>
          <w:i w:val="0"/>
          <w:iCs w:val="0"/>
          <w:caps w:val="0"/>
          <w:color w:val="auto"/>
          <w:spacing w:val="0"/>
          <w:sz w:val="24"/>
          <w:szCs w:val="24"/>
          <w:shd w:val="clear" w:fill="FFFFFF"/>
          <w:lang w:val="en-US"/>
        </w:rPr>
        <w:t xml:space="preserve"> </w:t>
      </w:r>
      <w:r>
        <w:rPr>
          <w:rFonts w:hint="default" w:ascii="Times New Roman" w:hAnsi="Times New Roman" w:eastAsia="sans-serif"/>
          <w:i w:val="0"/>
          <w:iCs w:val="0"/>
          <w:caps w:val="0"/>
          <w:color w:val="auto"/>
          <w:spacing w:val="0"/>
          <w:sz w:val="24"/>
          <w:szCs w:val="24"/>
          <w:shd w:val="clear" w:fill="FFFFFF"/>
        </w:rPr>
        <w:t>This strategy comprises a systematic and structured evaluation of policies to determine whether or not changes are required (Trochim, 2009). It comprises modifying existing policies to keep them current and effective as well as analysing policy outcomes and impact following implementation. Policy update and evaluation are crucial for maintaining policy relevance and success within a corporate or government institution (Ostrom, 1999).</w:t>
      </w:r>
    </w:p>
    <w:p>
      <w:pPr>
        <w:spacing w:line="480" w:lineRule="auto"/>
        <w:ind w:firstLine="720" w:firstLineChars="0"/>
        <w:jc w:val="left"/>
        <w:rPr>
          <w:rFonts w:hint="default" w:ascii="Times New Roman" w:hAnsi="Times New Roman"/>
          <w:sz w:val="24"/>
          <w:szCs w:val="24"/>
          <w:lang w:val="en-US"/>
        </w:rPr>
      </w:pPr>
      <w:r>
        <w:rPr>
          <w:rFonts w:hint="default" w:ascii="Times New Roman" w:hAnsi="Times New Roman"/>
          <w:sz w:val="24"/>
          <w:szCs w:val="24"/>
          <w:lang w:val="en-US"/>
        </w:rPr>
        <w:t>Policy evaluation and review are critical procedures in the management and governance of companies, authorities and enterprises. They are critical in making sure that policies are productive, relevant and in line with the entity's goals and objectives (Leeuw and Donaldson, 2015). He emphasised the significance of policy revision and evaluation in addressing changing circumstances, ensuring policy compliance with laws and regulations, achieving intended outcomes, identifying potential risks and unintended consequences, resolving disagreements and ensuring fairness.</w:t>
      </w:r>
    </w:p>
    <w:p>
      <w:pPr>
        <w:spacing w:line="480" w:lineRule="auto"/>
        <w:ind w:firstLine="720" w:firstLineChars="0"/>
        <w:jc w:val="left"/>
        <w:rPr>
          <w:rFonts w:hint="default" w:ascii="Times New Roman" w:hAnsi="Times New Roman"/>
          <w:sz w:val="24"/>
          <w:szCs w:val="24"/>
        </w:rPr>
      </w:pPr>
      <w:r>
        <w:rPr>
          <w:rFonts w:hint="default" w:ascii="Times New Roman" w:hAnsi="Times New Roman"/>
          <w:sz w:val="24"/>
          <w:szCs w:val="24"/>
          <w:lang w:val="en-US"/>
        </w:rPr>
        <w:t xml:space="preserve">Policy revision and evaluation can be used in a variety of contexts and sectors such as government, business, healthcare, education and non-profit organisations. They are applicable to any situation where policies exist and there is a requirement to guarantee that such policies stay effective and aligned with organisational objectives (Furubo et al., 2002 and Jacob et al., 2015). </w:t>
      </w:r>
      <w:r>
        <w:rPr>
          <w:rFonts w:hint="default" w:ascii="Times New Roman" w:hAnsi="Times New Roman"/>
          <w:sz w:val="24"/>
          <w:szCs w:val="24"/>
        </w:rPr>
        <w:t>Policy revision as well as updating are critical components of good governance and policy management. It contributes to the retention of policies that are responsive, accountable and capable of achieving their intended goals while adapting to changing circumstances and evolving societal needs through effective assessment, efficient improvement, accountability, transparency and gaining public trust and confidence (Hanberger, 2012).</w:t>
      </w:r>
    </w:p>
    <w:p>
      <w:pPr>
        <w:spacing w:line="480" w:lineRule="auto"/>
        <w:ind w:firstLine="720" w:firstLineChars="0"/>
        <w:jc w:val="left"/>
        <w:rPr>
          <w:rFonts w:hint="default" w:ascii="Times New Roman" w:hAnsi="Times New Roman" w:eastAsia="sans-serif"/>
          <w:i w:val="0"/>
          <w:iCs w:val="0"/>
          <w:caps w:val="0"/>
          <w:color w:val="auto"/>
          <w:spacing w:val="0"/>
          <w:sz w:val="24"/>
          <w:szCs w:val="24"/>
          <w:shd w:val="clear" w:fill="FFFFFF"/>
          <w:lang w:val="en-US"/>
        </w:rPr>
      </w:pPr>
      <w:r>
        <w:rPr>
          <w:rFonts w:hint="default" w:ascii="Times New Roman" w:hAnsi="Times New Roman" w:eastAsia="sans-serif"/>
          <w:i w:val="0"/>
          <w:iCs w:val="0"/>
          <w:caps w:val="0"/>
          <w:color w:val="auto"/>
          <w:spacing w:val="0"/>
          <w:sz w:val="24"/>
          <w:szCs w:val="24"/>
          <w:shd w:val="clear" w:fill="FFFFFF"/>
          <w:lang w:val="en-US"/>
        </w:rPr>
        <w:t>To revise and evaluate policies, governments use an organised and methodical approach. These procedures and methods can differ based on the level of government (local, regional, or national), the nature of the policy and the resources available. The European Union's government-driven climate policy evaluation procedures remain significantly different (Jacob et al. (2015). Policy revision and evaluation should be a cyclical process, with regular reviews and adjustments as circumstances change. It should also be carried out in an open and accountable manner in order to retain public trust and confidence in the government's decision-making procedures.</w:t>
      </w:r>
    </w:p>
    <w:p>
      <w:pPr>
        <w:spacing w:line="480" w:lineRule="auto"/>
        <w:ind w:firstLine="720" w:firstLineChars="0"/>
        <w:jc w:val="left"/>
        <w:rPr>
          <w:rFonts w:hint="default" w:ascii="Times New Roman" w:hAnsi="Times New Roman" w:eastAsia="sans-serif"/>
          <w:i w:val="0"/>
          <w:iCs w:val="0"/>
          <w:caps w:val="0"/>
          <w:color w:val="auto"/>
          <w:spacing w:val="0"/>
          <w:sz w:val="24"/>
          <w:szCs w:val="24"/>
          <w:shd w:val="clear" w:fill="FFFFFF"/>
          <w:lang w:val="en-US"/>
        </w:rPr>
      </w:pPr>
      <w:r>
        <w:rPr>
          <w:rFonts w:hint="default" w:ascii="Times New Roman" w:hAnsi="Times New Roman" w:eastAsia="sans-serif"/>
          <w:i w:val="0"/>
          <w:iCs w:val="0"/>
          <w:caps w:val="0"/>
          <w:color w:val="auto"/>
          <w:spacing w:val="0"/>
          <w:sz w:val="24"/>
          <w:szCs w:val="24"/>
          <w:shd w:val="clear" w:fill="FFFFFF"/>
          <w:lang w:val="en-US"/>
        </w:rPr>
        <w:t>Society plays an important role in policy modification as well as revision by providing significant input, discussion and monitoring. These participation guarantees the society that policies continue to be responsive to the interests and concerns of the people they affect (Mickwitz, 2013). The Society's contribution to policy modification and review is critical for maintaining policies that are accountable and effective. When politicians and organisations connect with the public and incorporate their feedback, governance becomes more inclusive, transparent and responsive. It aids in bridging the gap between policy goals and actual policy impact.</w:t>
      </w:r>
    </w:p>
    <w:p>
      <w:pPr>
        <w:spacing w:line="480" w:lineRule="auto"/>
        <w:ind w:firstLine="720" w:firstLineChars="0"/>
        <w:jc w:val="both"/>
        <w:rPr>
          <w:rFonts w:hint="default" w:ascii="Times New Roman" w:hAnsi="Times New Roman" w:eastAsia="sans-serif"/>
          <w:i w:val="0"/>
          <w:iCs w:val="0"/>
          <w:caps w:val="0"/>
          <w:color w:val="auto"/>
          <w:spacing w:val="0"/>
          <w:sz w:val="24"/>
          <w:szCs w:val="24"/>
          <w:shd w:val="clear" w:fill="FFFFFF"/>
          <w:lang w:val="en-US"/>
        </w:rPr>
      </w:pPr>
      <w:r>
        <w:rPr>
          <w:rFonts w:hint="default" w:ascii="Times New Roman" w:hAnsi="Times New Roman" w:eastAsia="sans-serif"/>
          <w:i w:val="0"/>
          <w:iCs w:val="0"/>
          <w:caps w:val="0"/>
          <w:color w:val="auto"/>
          <w:spacing w:val="0"/>
          <w:sz w:val="24"/>
          <w:szCs w:val="24"/>
          <w:shd w:val="clear" w:fill="FFFFFF"/>
          <w:lang w:val="en-US"/>
        </w:rPr>
        <w:t>According to Mela and Hildén (2012), greater uniformity has been frequently recommended for the modification of monitoring techniques. The majority of revision and evaluation monitoring results in projections regarding what nations that participate expect their guidelines to achieve. Neglecting details regarding specific regulations could be a method for masking incapacity in order to protect policy change and review (Voß and Simons, 2014).</w:t>
      </w:r>
    </w:p>
    <w:p>
      <w:pPr>
        <w:spacing w:line="480" w:lineRule="auto"/>
        <w:ind w:firstLine="720" w:firstLineChars="0"/>
        <w:jc w:val="both"/>
        <w:rPr>
          <w:rFonts w:hint="default" w:ascii="Times New Roman" w:hAnsi="Times New Roman" w:eastAsia="sans-serif"/>
          <w:i w:val="0"/>
          <w:iCs w:val="0"/>
          <w:caps w:val="0"/>
          <w:color w:val="auto"/>
          <w:spacing w:val="0"/>
          <w:sz w:val="24"/>
          <w:szCs w:val="24"/>
          <w:shd w:val="clear" w:fill="FFFFFF"/>
          <w:lang w:val="en-US"/>
        </w:rPr>
      </w:pPr>
      <w:r>
        <w:rPr>
          <w:rFonts w:hint="default" w:ascii="Times New Roman" w:hAnsi="Times New Roman" w:eastAsia="sans-serif"/>
          <w:i w:val="0"/>
          <w:iCs w:val="0"/>
          <w:caps w:val="0"/>
          <w:color w:val="auto"/>
          <w:spacing w:val="0"/>
          <w:sz w:val="24"/>
          <w:szCs w:val="24"/>
          <w:shd w:val="clear" w:fill="FFFFFF"/>
          <w:lang w:val="en-US"/>
        </w:rPr>
        <w:t>Policy revision and evaluation contribute to new knowledge by enabling in gathering and analysing information, assessing policy efficacy, identifying areas for improvement and promoting rational decisions based on evidence (Hanberger, 2012). It promotes the dynamic exchange of ideas and information leading in a more informed and adaptable approach to policymaking and governance.</w:t>
      </w:r>
    </w:p>
    <w:p>
      <w:pPr>
        <w:spacing w:line="480" w:lineRule="auto"/>
        <w:ind w:firstLine="0" w:firstLineChars="0"/>
        <w:jc w:val="both"/>
        <w:rPr>
          <w:rFonts w:hint="default" w:ascii="Times New Roman" w:hAnsi="Times New Roman" w:eastAsia="sans-serif"/>
          <w:i w:val="0"/>
          <w:iCs w:val="0"/>
          <w:caps w:val="0"/>
          <w:color w:val="auto"/>
          <w:spacing w:val="0"/>
          <w:sz w:val="24"/>
          <w:szCs w:val="24"/>
          <w:shd w:val="clear" w:fill="FFFFFF"/>
          <w:lang w:val="en-US"/>
        </w:rPr>
      </w:pPr>
    </w:p>
    <w:p>
      <w:pPr>
        <w:spacing w:line="240" w:lineRule="auto"/>
        <w:ind w:firstLine="0" w:firstLineChars="0"/>
        <w:jc w:val="both"/>
        <w:rPr>
          <w:rFonts w:hint="default" w:ascii="Times New Roman" w:hAnsi="Times New Roman" w:eastAsia="sans-serif"/>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p>
    <w:p>
      <w:pPr>
        <w:spacing w:line="240" w:lineRule="auto"/>
        <w:ind w:firstLine="0" w:firstLineChars="0"/>
        <w:jc w:val="center"/>
        <w:rPr>
          <w:rFonts w:hint="default" w:ascii="Times New Roman" w:hAnsi="Times New Roman" w:eastAsia="sans-serif"/>
          <w:b/>
          <w:bCs/>
          <w:i w:val="0"/>
          <w:iCs w:val="0"/>
          <w:caps w:val="0"/>
          <w:color w:val="auto"/>
          <w:spacing w:val="0"/>
          <w:sz w:val="24"/>
          <w:szCs w:val="24"/>
          <w:shd w:val="clear" w:fill="FFFFFF"/>
          <w:lang w:val="en-US"/>
        </w:rPr>
      </w:pPr>
      <w:r>
        <w:rPr>
          <w:rFonts w:hint="default" w:ascii="Times New Roman" w:hAnsi="Times New Roman" w:eastAsia="sans-serif"/>
          <w:b/>
          <w:bCs/>
          <w:i w:val="0"/>
          <w:iCs w:val="0"/>
          <w:caps w:val="0"/>
          <w:color w:val="auto"/>
          <w:spacing w:val="0"/>
          <w:sz w:val="24"/>
          <w:szCs w:val="24"/>
          <w:shd w:val="clear" w:fill="FFFFFF"/>
          <w:lang w:val="en-US"/>
        </w:rPr>
        <w:t>References</w:t>
      </w:r>
    </w:p>
    <w:p>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Furubo, J. E., Rist, R. C. and Sandahl, R. (2002). </w:t>
      </w:r>
      <w:r>
        <w:rPr>
          <w:rFonts w:hint="default" w:ascii="Times New Roman" w:hAnsi="Times New Roman" w:eastAsia="TimesNewRomanPS-ItalicMT" w:cs="Times New Roman"/>
          <w:i/>
          <w:iCs/>
          <w:color w:val="000000"/>
          <w:kern w:val="0"/>
          <w:sz w:val="24"/>
          <w:szCs w:val="24"/>
          <w:lang w:val="en-US" w:eastAsia="zh-CN" w:bidi="ar"/>
        </w:rPr>
        <w:t>International Atlas of Evaluation</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New Brunswick: Transaction Publishers.</w:t>
      </w:r>
      <w:r>
        <w:rPr>
          <w:rFonts w:hint="default" w:ascii="Times New Roman" w:hAnsi="Times New Roman" w:eastAsia="GillSansStd-Italic" w:cs="Times New Roman"/>
          <w:i/>
          <w:iCs/>
          <w:color w:val="000000"/>
          <w:kern w:val="0"/>
          <w:sz w:val="24"/>
          <w:szCs w:val="24"/>
          <w:lang w:val="en-US" w:eastAsia="zh-CN" w:bidi="ar"/>
        </w:rPr>
        <w:t xml:space="preserve">Schoenefeld and Jordan: Governing </w:t>
      </w:r>
      <w:r>
        <w:rPr>
          <w:rFonts w:hint="default" w:ascii="Times New Roman" w:hAnsi="Times New Roman" w:eastAsia="GillSansStd-Italic" w:cs="Times New Roman"/>
          <w:i/>
          <w:iCs/>
          <w:color w:val="000000"/>
          <w:kern w:val="0"/>
          <w:sz w:val="24"/>
          <w:szCs w:val="24"/>
          <w:lang w:val="en-US" w:eastAsia="zh-CN" w:bidi="ar"/>
        </w:rPr>
        <w:tab/>
      </w:r>
      <w:r>
        <w:rPr>
          <w:rFonts w:hint="default" w:ascii="Times New Roman" w:hAnsi="Times New Roman" w:eastAsia="GillSansStd-Italic" w:cs="Times New Roman"/>
          <w:i/>
          <w:iCs/>
          <w:color w:val="000000"/>
          <w:kern w:val="0"/>
          <w:sz w:val="24"/>
          <w:szCs w:val="24"/>
          <w:lang w:val="en-US" w:eastAsia="zh-CN" w:bidi="ar"/>
        </w:rPr>
        <w:t xml:space="preserve">policy evaluation </w:t>
      </w:r>
      <w:r>
        <w:rPr>
          <w:rFonts w:hint="default" w:ascii="Times New Roman" w:hAnsi="Times New Roman" w:eastAsia="GillSansStd" w:cs="Times New Roman"/>
          <w:color w:val="000000"/>
          <w:kern w:val="0"/>
          <w:sz w:val="24"/>
          <w:szCs w:val="24"/>
          <w:lang w:val="en-US" w:eastAsia="zh-CN" w:bidi="ar"/>
        </w:rPr>
        <w:t xml:space="preserve">291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Hanberger, A. (2012). Framework for exploring the interplay of governance and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evaluation. </w:t>
      </w:r>
      <w:r>
        <w:rPr>
          <w:rFonts w:hint="default" w:ascii="Times New Roman" w:hAnsi="Times New Roman" w:eastAsia="TimesNewRomanPS-ItalicMT" w:cs="Times New Roman"/>
          <w:i/>
          <w:iCs/>
          <w:color w:val="000000"/>
          <w:kern w:val="0"/>
          <w:sz w:val="24"/>
          <w:szCs w:val="24"/>
          <w:lang w:val="en-US" w:eastAsia="zh-CN" w:bidi="ar"/>
        </w:rPr>
        <w:t>Scandinavian Journal of Public Administration</w:t>
      </w:r>
      <w:r>
        <w:rPr>
          <w:rFonts w:hint="default" w:ascii="Times New Roman" w:hAnsi="Times New Roman" w:eastAsia="SimSun" w:cs="Times New Roman"/>
          <w:color w:val="000000"/>
          <w:kern w:val="0"/>
          <w:sz w:val="24"/>
          <w:szCs w:val="24"/>
          <w:lang w:val="en-US" w:eastAsia="zh-CN" w:bidi="ar"/>
        </w:rPr>
        <w:t xml:space="preserve"> 16(3): 9–27.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Haug, C., Rayner, T. and Jordan, A. (2010). Navigating the dilemmas of climate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policy in Europe: Evidence from policy evaluation studies. </w:t>
      </w:r>
      <w:r>
        <w:rPr>
          <w:rFonts w:hint="default" w:ascii="Times New Roman" w:hAnsi="Times New Roman" w:eastAsia="TimesNewRomanPS-ItalicMT" w:cs="Times New Roman"/>
          <w:i/>
          <w:iCs/>
          <w:color w:val="000000"/>
          <w:kern w:val="0"/>
          <w:sz w:val="24"/>
          <w:szCs w:val="24"/>
          <w:lang w:val="en-US" w:eastAsia="zh-CN" w:bidi="ar"/>
        </w:rPr>
        <w:t>Climatic Change</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101(3): 427–45.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Jacob, S., Speer, S. and Furubo, J. (2015). The institutionalization of evaluation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matters: Updating the international atlas of evaluation 10 years later.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TimesNewRomanPS-ItalicMT" w:cs="Times New Roman"/>
          <w:i/>
          <w:iCs/>
          <w:color w:val="000000"/>
          <w:kern w:val="0"/>
          <w:sz w:val="24"/>
          <w:szCs w:val="24"/>
          <w:lang w:val="en-US" w:eastAsia="zh-CN" w:bidi="ar"/>
        </w:rPr>
        <w:t>Evaluation</w:t>
      </w:r>
      <w:r>
        <w:rPr>
          <w:rFonts w:hint="default" w:ascii="Times New Roman" w:hAnsi="Times New Roman" w:eastAsia="SimSun" w:cs="Times New Roman"/>
          <w:color w:val="000000"/>
          <w:kern w:val="0"/>
          <w:sz w:val="24"/>
          <w:szCs w:val="24"/>
          <w:lang w:val="en-US" w:eastAsia="zh-CN" w:bidi="ar"/>
        </w:rPr>
        <w:t xml:space="preserve"> 21(1): 6–31.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Leeuw, F. L. and Donaldson, S. I. (2015). Theory in evaluation: Reducing confusion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and encouraging debate. </w:t>
      </w:r>
      <w:r>
        <w:rPr>
          <w:rFonts w:hint="default" w:ascii="Times New Roman" w:hAnsi="Times New Roman" w:eastAsia="TimesNewRomanPS-ItalicMT" w:cs="Times New Roman"/>
          <w:i/>
          <w:iCs/>
          <w:color w:val="000000"/>
          <w:kern w:val="0"/>
          <w:sz w:val="24"/>
          <w:szCs w:val="24"/>
          <w:lang w:val="en-US" w:eastAsia="zh-CN" w:bidi="ar"/>
        </w:rPr>
        <w:t>Evaluation</w:t>
      </w:r>
      <w:r>
        <w:rPr>
          <w:rFonts w:hint="default" w:ascii="Times New Roman" w:hAnsi="Times New Roman" w:eastAsia="SimSun" w:cs="Times New Roman"/>
          <w:color w:val="000000"/>
          <w:kern w:val="0"/>
          <w:sz w:val="24"/>
          <w:szCs w:val="24"/>
          <w:lang w:val="en-US" w:eastAsia="zh-CN" w:bidi="ar"/>
        </w:rPr>
        <w:t xml:space="preserve"> 21(4): 467–80.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Mela, H. and Hildén, M. (2012). Evaluation of climate policies and measures in EU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member states– examples and experiences from four sectors. Available at: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fldChar w:fldCharType="begin"/>
      </w:r>
      <w:r>
        <w:rPr>
          <w:rFonts w:hint="default" w:ascii="Times New Roman" w:hAnsi="Times New Roman" w:eastAsia="SimSun" w:cs="Times New Roman"/>
          <w:color w:val="000000"/>
          <w:kern w:val="0"/>
          <w:sz w:val="24"/>
          <w:szCs w:val="24"/>
          <w:lang w:val="en-US" w:eastAsia="zh-CN" w:bidi="ar"/>
        </w:rPr>
        <w:instrText xml:space="preserve"> HYPERLINK "https://helda.helsinki.fi/bitstream/handle/10138/38749/FE19_2012.pdf?sequen" </w:instrText>
      </w:r>
      <w:r>
        <w:rPr>
          <w:rFonts w:hint="default" w:ascii="Times New Roman" w:hAnsi="Times New Roman" w:eastAsia="SimSun" w:cs="Times New Roman"/>
          <w:color w:val="000000"/>
          <w:kern w:val="0"/>
          <w:sz w:val="24"/>
          <w:szCs w:val="24"/>
          <w:lang w:val="en-US" w:eastAsia="zh-CN" w:bidi="ar"/>
        </w:rPr>
        <w:fldChar w:fldCharType="separate"/>
      </w:r>
      <w:r>
        <w:rPr>
          <w:rStyle w:val="6"/>
          <w:rFonts w:hint="default" w:ascii="Times New Roman" w:hAnsi="Times New Roman" w:eastAsia="SimSun" w:cs="Times New Roman"/>
          <w:kern w:val="0"/>
          <w:sz w:val="24"/>
          <w:szCs w:val="24"/>
          <w:lang w:val="en-US" w:eastAsia="zh-CN" w:bidi="ar"/>
        </w:rPr>
        <w:t>https://helda.helsinki.fi/bitstream/handle/10138/38749/FE19_2012.pdf?sequen</w:t>
      </w:r>
      <w:r>
        <w:rPr>
          <w:rFonts w:hint="default" w:ascii="Times New Roman" w:hAnsi="Times New Roman" w:eastAsia="SimSun" w:cs="Times New Roman"/>
          <w:color w:val="000000"/>
          <w:kern w:val="0"/>
          <w:sz w:val="24"/>
          <w:szCs w:val="24"/>
          <w:lang w:val="en-US" w:eastAsia="zh-CN" w:bidi="ar"/>
        </w:rPr>
        <w:fldChar w:fldCharType="end"/>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ce =1 (accessed 8 June 2017).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Mickwitz, P. (2013). Policy evaluation. In Jordan A and Adelle C (eds)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TimesNewRomanPS-ItalicMT" w:cs="Times New Roman"/>
          <w:i/>
          <w:iCs/>
          <w:color w:val="000000"/>
          <w:kern w:val="0"/>
          <w:sz w:val="24"/>
          <w:szCs w:val="24"/>
          <w:lang w:val="en-US" w:eastAsia="zh-CN" w:bidi="ar"/>
        </w:rPr>
        <w:t>Environmental Policy in the EU: Actors, Institutions and Processes</w:t>
      </w:r>
      <w:r>
        <w:rPr>
          <w:rFonts w:hint="default" w:ascii="Times New Roman" w:hAnsi="Times New Roman" w:eastAsia="SimSun" w:cs="Times New Roman"/>
          <w:color w:val="000000"/>
          <w:kern w:val="0"/>
          <w:sz w:val="24"/>
          <w:szCs w:val="24"/>
          <w:lang w:val="en-US" w:eastAsia="zh-CN" w:bidi="ar"/>
        </w:rPr>
        <w:t xml:space="preserve">. London;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New York: Routledge, 267–86.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Ostrom, E. (2010). Polycentric systems for coping with collective action and global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environmental change. </w:t>
      </w:r>
      <w:r>
        <w:rPr>
          <w:rFonts w:hint="default" w:ascii="Times New Roman" w:hAnsi="Times New Roman" w:eastAsia="TimesNewRomanPS-ItalicMT" w:cs="Times New Roman"/>
          <w:i/>
          <w:iCs/>
          <w:color w:val="000000"/>
          <w:kern w:val="0"/>
          <w:sz w:val="24"/>
          <w:szCs w:val="24"/>
          <w:lang w:val="en-US" w:eastAsia="zh-CN" w:bidi="ar"/>
        </w:rPr>
        <w:t>Global Environmental Change</w:t>
      </w:r>
      <w:r>
        <w:rPr>
          <w:rFonts w:hint="default" w:ascii="Times New Roman" w:hAnsi="Times New Roman" w:eastAsia="SimSun" w:cs="Times New Roman"/>
          <w:color w:val="000000"/>
          <w:kern w:val="0"/>
          <w:sz w:val="24"/>
          <w:szCs w:val="24"/>
          <w:lang w:val="en-US" w:eastAsia="zh-CN" w:bidi="ar"/>
        </w:rPr>
        <w:t xml:space="preserve"> 20(4): 550–7.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Trochim, W. M. (2009). Evaluation policy and evaluation practice. </w:t>
      </w:r>
      <w:r>
        <w:rPr>
          <w:rFonts w:hint="default" w:ascii="Times New Roman" w:hAnsi="Times New Roman" w:eastAsia="TimesNewRomanPS-ItalicMT" w:cs="Times New Roman"/>
          <w:i/>
          <w:iCs/>
          <w:color w:val="000000"/>
          <w:kern w:val="0"/>
          <w:sz w:val="24"/>
          <w:szCs w:val="24"/>
          <w:lang w:val="en-US" w:eastAsia="zh-CN" w:bidi="ar"/>
        </w:rPr>
        <w:t xml:space="preserve">New Directions </w:t>
      </w:r>
      <w:r>
        <w:rPr>
          <w:rFonts w:hint="default" w:ascii="Times New Roman" w:hAnsi="Times New Roman" w:eastAsia="TimesNewRomanPS-ItalicMT" w:cs="Times New Roman"/>
          <w:i/>
          <w:iCs/>
          <w:color w:val="000000"/>
          <w:kern w:val="0"/>
          <w:sz w:val="24"/>
          <w:szCs w:val="24"/>
          <w:lang w:val="en-US" w:eastAsia="zh-CN" w:bidi="ar"/>
        </w:rPr>
        <w:tab/>
      </w:r>
      <w:r>
        <w:rPr>
          <w:rFonts w:hint="default" w:ascii="Times New Roman" w:hAnsi="Times New Roman" w:eastAsia="TimesNewRomanPS-ItalicMT" w:cs="Times New Roman"/>
          <w:i/>
          <w:iCs/>
          <w:color w:val="000000"/>
          <w:kern w:val="0"/>
          <w:sz w:val="24"/>
          <w:szCs w:val="24"/>
          <w:lang w:val="en-US" w:eastAsia="zh-CN" w:bidi="ar"/>
        </w:rPr>
        <w:t>for Evaluation</w:t>
      </w:r>
      <w:r>
        <w:rPr>
          <w:rFonts w:hint="default" w:ascii="Times New Roman" w:hAnsi="Times New Roman" w:eastAsia="SimSun" w:cs="Times New Roman"/>
          <w:color w:val="000000"/>
          <w:kern w:val="0"/>
          <w:sz w:val="24"/>
          <w:szCs w:val="24"/>
          <w:lang w:val="en-US" w:eastAsia="zh-CN" w:bidi="ar"/>
        </w:rPr>
        <w:t xml:space="preserve"> 123: 13–32.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Voß, J. and Simons, A. (2014). Instrument constituencies and the supply side of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policy innovation: The social life of emissions trading. </w:t>
      </w:r>
      <w:r>
        <w:rPr>
          <w:rFonts w:hint="default" w:ascii="Times New Roman" w:hAnsi="Times New Roman" w:eastAsia="TimesNewRomanPS-ItalicMT" w:cs="Times New Roman"/>
          <w:i/>
          <w:iCs/>
          <w:color w:val="000000"/>
          <w:kern w:val="0"/>
          <w:sz w:val="24"/>
          <w:szCs w:val="24"/>
          <w:lang w:val="en-US" w:eastAsia="zh-CN" w:bidi="ar"/>
        </w:rPr>
        <w:t>Environmental Politics</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23(5): 735–54.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p>
    <w:p>
      <w:pPr>
        <w:spacing w:line="480" w:lineRule="auto"/>
        <w:ind w:firstLine="0" w:firstLineChars="0"/>
        <w:jc w:val="both"/>
        <w:rPr>
          <w:rFonts w:hint="default" w:ascii="Times New Roman" w:hAnsi="Times New Roman" w:eastAsia="sans-serif"/>
          <w:i w:val="0"/>
          <w:iCs w:val="0"/>
          <w:caps w:val="0"/>
          <w:color w:val="auto"/>
          <w:spacing w:val="0"/>
          <w:sz w:val="24"/>
          <w:szCs w:val="24"/>
          <w:shd w:val="clear" w:fill="FFFFFF"/>
          <w:lang w:val="en-US"/>
        </w:rPr>
      </w:pPr>
      <w:bookmarkStart w:id="0" w:name="_GoBack"/>
      <w:bookmarkEnd w:id="0"/>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GillSansStd">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GillSansStd-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1C99"/>
    <w:rsid w:val="067E2EB5"/>
    <w:rsid w:val="07275D9C"/>
    <w:rsid w:val="14E70D5B"/>
    <w:rsid w:val="157C6174"/>
    <w:rsid w:val="1C08210D"/>
    <w:rsid w:val="1E186F14"/>
    <w:rsid w:val="229D5F3A"/>
    <w:rsid w:val="2D7600F9"/>
    <w:rsid w:val="46A4722F"/>
    <w:rsid w:val="549F1C99"/>
    <w:rsid w:val="652F23A0"/>
    <w:rsid w:val="77E5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2023-09-10T03:38:00Z</dcterms:created>
  <dc:creator>WPS_1642304294</dc:creator>
  <cp:lastModifiedBy>WPS_1642304294</cp:lastModifiedBy>
  <dcterms:modified xsi:type="dcterms:W3CDTF">2023-09-12T10:04:38Z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F1F4B378D6B641D0A304AA826031A59D</vt:lpwstr>
  </property>
</Properties>
</file>