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0E" w:rsidRPr="00447F0E" w:rsidRDefault="00EF61A4" w:rsidP="003F432F">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Case Study: Factors Affecting Voting Behavior</w:t>
      </w:r>
    </w:p>
    <w:p w:rsidR="00447F0E" w:rsidRPr="00447F0E" w:rsidRDefault="00447F0E" w:rsidP="00447F0E">
      <w:pPr>
        <w:jc w:val="center"/>
        <w:rPr>
          <w:rFonts w:ascii="Times New Roman" w:hAnsi="Times New Roman" w:cs="Times New Roman"/>
          <w:b/>
          <w:sz w:val="24"/>
          <w:szCs w:val="24"/>
        </w:rPr>
      </w:pPr>
      <w:r w:rsidRPr="00447F0E">
        <w:rPr>
          <w:rFonts w:ascii="Times New Roman" w:hAnsi="Times New Roman" w:cs="Times New Roman"/>
          <w:b/>
          <w:sz w:val="24"/>
          <w:szCs w:val="24"/>
        </w:rPr>
        <w:t>Student Name</w:t>
      </w: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r w:rsidRPr="00447F0E">
        <w:rPr>
          <w:rFonts w:ascii="Times New Roman" w:hAnsi="Times New Roman" w:cs="Times New Roman"/>
          <w:b/>
          <w:sz w:val="24"/>
          <w:szCs w:val="24"/>
        </w:rPr>
        <w:t>Institution</w:t>
      </w: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r w:rsidRPr="00447F0E">
        <w:rPr>
          <w:rFonts w:ascii="Times New Roman" w:hAnsi="Times New Roman" w:cs="Times New Roman"/>
          <w:b/>
          <w:sz w:val="24"/>
          <w:szCs w:val="24"/>
        </w:rPr>
        <w:t>Professor</w:t>
      </w: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r w:rsidRPr="00447F0E">
        <w:rPr>
          <w:rFonts w:ascii="Times New Roman" w:hAnsi="Times New Roman" w:cs="Times New Roman"/>
          <w:b/>
          <w:sz w:val="24"/>
          <w:szCs w:val="24"/>
        </w:rPr>
        <w:t>Course</w:t>
      </w: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p>
    <w:p w:rsidR="00447F0E" w:rsidRPr="00447F0E" w:rsidRDefault="00447F0E" w:rsidP="00447F0E">
      <w:pPr>
        <w:jc w:val="center"/>
        <w:rPr>
          <w:rFonts w:ascii="Times New Roman" w:hAnsi="Times New Roman" w:cs="Times New Roman"/>
          <w:b/>
          <w:sz w:val="24"/>
          <w:szCs w:val="24"/>
        </w:rPr>
      </w:pPr>
      <w:r w:rsidRPr="00447F0E">
        <w:rPr>
          <w:rFonts w:ascii="Times New Roman" w:hAnsi="Times New Roman" w:cs="Times New Roman"/>
          <w:b/>
          <w:sz w:val="24"/>
          <w:szCs w:val="24"/>
        </w:rPr>
        <w:t>Due Date</w:t>
      </w:r>
    </w:p>
    <w:p w:rsidR="00447F0E" w:rsidRPr="00447F0E" w:rsidRDefault="00447F0E" w:rsidP="00447F0E">
      <w:pPr>
        <w:spacing w:before="80"/>
        <w:ind w:left="100"/>
        <w:jc w:val="center"/>
        <w:rPr>
          <w:rFonts w:ascii="Times New Roman" w:hAnsi="Times New Roman" w:cs="Times New Roman"/>
          <w:sz w:val="24"/>
          <w:szCs w:val="24"/>
        </w:rPr>
      </w:pPr>
    </w:p>
    <w:p w:rsidR="00447F0E" w:rsidRPr="00447F0E" w:rsidRDefault="00447F0E" w:rsidP="00447F0E">
      <w:pPr>
        <w:spacing w:before="80"/>
        <w:ind w:left="100"/>
        <w:rPr>
          <w:rFonts w:ascii="Times New Roman" w:hAnsi="Times New Roman" w:cs="Times New Roman"/>
          <w:sz w:val="24"/>
          <w:szCs w:val="24"/>
        </w:rPr>
      </w:pPr>
    </w:p>
    <w:p w:rsidR="00447F0E" w:rsidRPr="00447F0E" w:rsidRDefault="00447F0E" w:rsidP="00447F0E">
      <w:pPr>
        <w:rPr>
          <w:rFonts w:ascii="Times New Roman" w:hAnsi="Times New Roman" w:cs="Times New Roman"/>
          <w:sz w:val="24"/>
          <w:szCs w:val="24"/>
        </w:rPr>
      </w:pPr>
    </w:p>
    <w:p w:rsidR="00447F0E" w:rsidRPr="00447F0E" w:rsidRDefault="00447F0E" w:rsidP="00447F0E">
      <w:pPr>
        <w:spacing w:line="256" w:lineRule="auto"/>
        <w:rPr>
          <w:rFonts w:ascii="Times New Roman" w:hAnsi="Times New Roman" w:cs="Times New Roman"/>
          <w:sz w:val="24"/>
          <w:szCs w:val="24"/>
        </w:rPr>
      </w:pPr>
      <w:r w:rsidRPr="00447F0E">
        <w:rPr>
          <w:rFonts w:ascii="Times New Roman" w:hAnsi="Times New Roman" w:cs="Times New Roman"/>
          <w:sz w:val="24"/>
          <w:szCs w:val="24"/>
        </w:rPr>
        <w:br w:type="page"/>
      </w:r>
    </w:p>
    <w:p w:rsidR="005D6E08" w:rsidRDefault="00EF61A4" w:rsidP="005D6E08">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Case Study: Factors Affecting Voting Behavior</w:t>
      </w:r>
    </w:p>
    <w:p w:rsidR="005D6E08" w:rsidRPr="005D6E08" w:rsidRDefault="005D6E08" w:rsidP="005D6E0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5D6E08" w:rsidRPr="005D6E08" w:rsidRDefault="005D6E08" w:rsidP="005D6E08">
      <w:pPr>
        <w:spacing w:line="276" w:lineRule="auto"/>
        <w:jc w:val="both"/>
        <w:rPr>
          <w:rFonts w:ascii="Times New Roman" w:hAnsi="Times New Roman" w:cs="Times New Roman"/>
          <w:sz w:val="24"/>
          <w:szCs w:val="24"/>
        </w:rPr>
      </w:pPr>
      <w:r w:rsidRPr="005D6E08">
        <w:rPr>
          <w:rFonts w:ascii="Times New Roman" w:hAnsi="Times New Roman" w:cs="Times New Roman"/>
          <w:sz w:val="24"/>
          <w:szCs w:val="24"/>
        </w:rPr>
        <w:t xml:space="preserve">Political Science delves into the study of </w:t>
      </w:r>
      <w:r w:rsidR="001E569A" w:rsidRPr="005D6E08">
        <w:rPr>
          <w:rFonts w:ascii="Times New Roman" w:hAnsi="Times New Roman" w:cs="Times New Roman"/>
          <w:sz w:val="24"/>
          <w:szCs w:val="24"/>
        </w:rPr>
        <w:t>society’s</w:t>
      </w:r>
      <w:r w:rsidRPr="005D6E08">
        <w:rPr>
          <w:rFonts w:ascii="Times New Roman" w:hAnsi="Times New Roman" w:cs="Times New Roman"/>
          <w:sz w:val="24"/>
          <w:szCs w:val="24"/>
        </w:rPr>
        <w:t xml:space="preserve"> bureaucracy, administration and policies with a focus, on understanding peoples voting preferences. In this field it is vital to comprehend the factors that influence individuals’ decision making when it comes to casting their vote. Factors such as age, religion, social class, race and education play roles in shaping voting patterns (Bellucci &amp; Heath 2011). In this discussion we will delve into these factors in detail. Explore how they impact the prediction of election results based on voter characteristics.</w:t>
      </w:r>
    </w:p>
    <w:p w:rsidR="005D6E08" w:rsidRPr="005D6E08" w:rsidRDefault="005D6E08" w:rsidP="005D6E08">
      <w:pPr>
        <w:spacing w:line="276" w:lineRule="auto"/>
        <w:jc w:val="both"/>
        <w:rPr>
          <w:rFonts w:ascii="Times New Roman" w:hAnsi="Times New Roman" w:cs="Times New Roman"/>
          <w:sz w:val="24"/>
          <w:szCs w:val="24"/>
        </w:rPr>
      </w:pPr>
    </w:p>
    <w:p w:rsidR="005D6E08" w:rsidRPr="005D6E08" w:rsidRDefault="005D6E08" w:rsidP="005D6E0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Age</w:t>
      </w:r>
    </w:p>
    <w:p w:rsidR="005D6E08" w:rsidRPr="005D6E08" w:rsidRDefault="005D6E08" w:rsidP="005D6E08">
      <w:pPr>
        <w:spacing w:line="276" w:lineRule="auto"/>
        <w:jc w:val="both"/>
        <w:rPr>
          <w:rFonts w:ascii="Times New Roman" w:hAnsi="Times New Roman" w:cs="Times New Roman"/>
          <w:sz w:val="24"/>
          <w:szCs w:val="24"/>
        </w:rPr>
      </w:pPr>
      <w:r w:rsidRPr="005D6E08">
        <w:rPr>
          <w:rFonts w:ascii="Times New Roman" w:hAnsi="Times New Roman" w:cs="Times New Roman"/>
          <w:sz w:val="24"/>
          <w:szCs w:val="24"/>
        </w:rPr>
        <w:t>One of the determinants of voting behavior is age. The way different age groups cast their votes can effectively illustrate disparities in attitudes and preferences. Younger voters tend to lean towards progressive views that prioritize social issues like environmental protection, human rights, gender equality among others. On the hand older voters often hold conservative viewpoints that align with traditional values while focusing on economic matters such as taxes and pensions.</w:t>
      </w:r>
    </w:p>
    <w:p w:rsidR="005D6E08" w:rsidRPr="005D6E08" w:rsidRDefault="005D6E08" w:rsidP="005D6E08">
      <w:pPr>
        <w:spacing w:line="276" w:lineRule="auto"/>
        <w:jc w:val="both"/>
        <w:rPr>
          <w:rFonts w:ascii="Times New Roman" w:hAnsi="Times New Roman" w:cs="Times New Roman"/>
          <w:b/>
          <w:sz w:val="24"/>
          <w:szCs w:val="24"/>
        </w:rPr>
      </w:pPr>
    </w:p>
    <w:p w:rsidR="005D6E08" w:rsidRPr="005D6E08" w:rsidRDefault="005D6E08" w:rsidP="005D6E0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Religion</w:t>
      </w:r>
    </w:p>
    <w:p w:rsidR="005D6E08" w:rsidRPr="005D6E08" w:rsidRDefault="005D6E08" w:rsidP="005D6E08">
      <w:pPr>
        <w:spacing w:after="0" w:line="276" w:lineRule="auto"/>
        <w:jc w:val="both"/>
        <w:rPr>
          <w:rFonts w:ascii="Times New Roman" w:hAnsi="Times New Roman" w:cs="Times New Roman"/>
          <w:sz w:val="24"/>
          <w:szCs w:val="24"/>
        </w:rPr>
      </w:pPr>
      <w:r w:rsidRPr="005D6E08">
        <w:rPr>
          <w:rFonts w:ascii="Times New Roman" w:hAnsi="Times New Roman" w:cs="Times New Roman"/>
          <w:sz w:val="24"/>
          <w:szCs w:val="24"/>
        </w:rPr>
        <w:t>Religion plays a role in influencing ideologies and loyalty—its significance cannot be overstated (Bellucci &amp; Heath 2011). For voters religion serves as a foundation, for identity formation, morality judgments and community belongingness. Consequently people frequently vote based on their beliefs and doctrines (Bellucci &amp; Heath 2011).</w:t>
      </w:r>
    </w:p>
    <w:p w:rsidR="00447F0E" w:rsidRPr="005D6E08" w:rsidRDefault="005D6E08" w:rsidP="005D6E08">
      <w:pPr>
        <w:spacing w:line="276" w:lineRule="auto"/>
        <w:jc w:val="both"/>
        <w:rPr>
          <w:rFonts w:ascii="Times New Roman" w:hAnsi="Times New Roman" w:cs="Times New Roman"/>
          <w:sz w:val="24"/>
          <w:szCs w:val="24"/>
        </w:rPr>
      </w:pPr>
      <w:r w:rsidRPr="005D6E08">
        <w:rPr>
          <w:rFonts w:ascii="Times New Roman" w:hAnsi="Times New Roman" w:cs="Times New Roman"/>
          <w:sz w:val="24"/>
          <w:szCs w:val="24"/>
        </w:rPr>
        <w:t>In matters such, as abortion, gay marriage and religious freedom the personal beliefs and values of voters related to their religion can potentially impact their decisions when choosing candidates or political parties. Moreover individuals who hold views tend to be actively engaged in politics due to their strong connections, within their communities (Snyder 2011).</w:t>
      </w:r>
    </w:p>
    <w:p w:rsidR="005D6E08" w:rsidRDefault="005D6E08" w:rsidP="00D15636">
      <w:pPr>
        <w:spacing w:line="276" w:lineRule="auto"/>
        <w:jc w:val="both"/>
        <w:rPr>
          <w:rFonts w:ascii="Times New Roman" w:hAnsi="Times New Roman" w:cs="Times New Roman"/>
          <w:b/>
          <w:sz w:val="24"/>
          <w:szCs w:val="24"/>
        </w:rPr>
      </w:pPr>
    </w:p>
    <w:p w:rsidR="00FB2F3D" w:rsidRPr="00FB2F3D" w:rsidRDefault="00FB2F3D" w:rsidP="00FB2F3D">
      <w:pPr>
        <w:spacing w:line="276" w:lineRule="auto"/>
        <w:jc w:val="center"/>
        <w:rPr>
          <w:rFonts w:ascii="Times New Roman" w:hAnsi="Times New Roman" w:cs="Times New Roman"/>
          <w:b/>
          <w:sz w:val="24"/>
          <w:szCs w:val="24"/>
        </w:rPr>
      </w:pPr>
      <w:r w:rsidRPr="00FB2F3D">
        <w:rPr>
          <w:rFonts w:ascii="Times New Roman" w:hAnsi="Times New Roman" w:cs="Times New Roman"/>
          <w:b/>
          <w:sz w:val="24"/>
          <w:szCs w:val="24"/>
        </w:rPr>
        <w:t>Class</w:t>
      </w:r>
    </w:p>
    <w:p w:rsidR="00FB2F3D" w:rsidRPr="00FB2F3D" w:rsidRDefault="00FB2F3D" w:rsidP="00FB2F3D">
      <w:pPr>
        <w:spacing w:line="276" w:lineRule="auto"/>
        <w:jc w:val="both"/>
        <w:rPr>
          <w:rFonts w:ascii="Times New Roman" w:hAnsi="Times New Roman" w:cs="Times New Roman"/>
          <w:sz w:val="24"/>
          <w:szCs w:val="24"/>
        </w:rPr>
      </w:pPr>
      <w:r w:rsidRPr="00FB2F3D">
        <w:rPr>
          <w:rFonts w:ascii="Times New Roman" w:hAnsi="Times New Roman" w:cs="Times New Roman"/>
          <w:sz w:val="24"/>
          <w:szCs w:val="24"/>
        </w:rPr>
        <w:t>The class, therefore, highly determines voter behavior since it reflects economic status and interest. As per the class-based voting theory, people vote for a party or candidate that most reflects their interests and material wellbeing. Class differences are also evident in political participation, where lower-class voters have a low turnout rate as compared to their upper class counterparts due to poor levels of education income and awareness (Bellucci &amp; Heath, 2011).</w:t>
      </w:r>
    </w:p>
    <w:p w:rsidR="00FB2F3D" w:rsidRDefault="00FB2F3D" w:rsidP="00FB2F3D">
      <w:pPr>
        <w:spacing w:line="276" w:lineRule="auto"/>
        <w:jc w:val="center"/>
        <w:rPr>
          <w:rFonts w:ascii="Times New Roman" w:hAnsi="Times New Roman" w:cs="Times New Roman"/>
          <w:b/>
          <w:sz w:val="24"/>
          <w:szCs w:val="24"/>
        </w:rPr>
      </w:pPr>
    </w:p>
    <w:p w:rsidR="00FB2F3D" w:rsidRDefault="00FB2F3D" w:rsidP="00FB2F3D">
      <w:pPr>
        <w:spacing w:line="276" w:lineRule="auto"/>
        <w:jc w:val="center"/>
        <w:rPr>
          <w:rFonts w:ascii="Times New Roman" w:hAnsi="Times New Roman" w:cs="Times New Roman"/>
          <w:b/>
          <w:sz w:val="24"/>
          <w:szCs w:val="24"/>
        </w:rPr>
      </w:pPr>
    </w:p>
    <w:p w:rsidR="00FB2F3D" w:rsidRDefault="00FB2F3D" w:rsidP="00FB2F3D">
      <w:pPr>
        <w:spacing w:line="276" w:lineRule="auto"/>
        <w:jc w:val="center"/>
        <w:rPr>
          <w:rFonts w:ascii="Times New Roman" w:hAnsi="Times New Roman" w:cs="Times New Roman"/>
          <w:b/>
          <w:sz w:val="24"/>
          <w:szCs w:val="24"/>
        </w:rPr>
      </w:pPr>
    </w:p>
    <w:p w:rsidR="00FB2F3D" w:rsidRDefault="00FB2F3D" w:rsidP="00FB2F3D">
      <w:pPr>
        <w:spacing w:line="276" w:lineRule="auto"/>
        <w:jc w:val="center"/>
        <w:rPr>
          <w:rFonts w:ascii="Times New Roman" w:hAnsi="Times New Roman" w:cs="Times New Roman"/>
          <w:b/>
          <w:sz w:val="24"/>
          <w:szCs w:val="24"/>
        </w:rPr>
      </w:pPr>
    </w:p>
    <w:p w:rsidR="00FB2F3D" w:rsidRPr="00FB2F3D" w:rsidRDefault="00FB2F3D" w:rsidP="00FB2F3D">
      <w:pPr>
        <w:spacing w:line="276" w:lineRule="auto"/>
        <w:jc w:val="center"/>
        <w:rPr>
          <w:rFonts w:ascii="Times New Roman" w:hAnsi="Times New Roman" w:cs="Times New Roman"/>
          <w:b/>
          <w:sz w:val="24"/>
          <w:szCs w:val="24"/>
        </w:rPr>
      </w:pPr>
      <w:r w:rsidRPr="00FB2F3D">
        <w:rPr>
          <w:rFonts w:ascii="Times New Roman" w:hAnsi="Times New Roman" w:cs="Times New Roman"/>
          <w:b/>
          <w:sz w:val="24"/>
          <w:szCs w:val="24"/>
        </w:rPr>
        <w:t>Race</w:t>
      </w:r>
    </w:p>
    <w:p w:rsidR="00FB2F3D" w:rsidRPr="00FB2F3D" w:rsidRDefault="00FB2F3D" w:rsidP="00FB2F3D">
      <w:pPr>
        <w:spacing w:line="276" w:lineRule="auto"/>
        <w:jc w:val="both"/>
        <w:rPr>
          <w:rFonts w:ascii="Times New Roman" w:hAnsi="Times New Roman" w:cs="Times New Roman"/>
          <w:sz w:val="24"/>
          <w:szCs w:val="24"/>
        </w:rPr>
      </w:pPr>
      <w:r w:rsidRPr="00FB2F3D">
        <w:rPr>
          <w:rFonts w:ascii="Times New Roman" w:hAnsi="Times New Roman" w:cs="Times New Roman"/>
          <w:sz w:val="24"/>
          <w:szCs w:val="24"/>
        </w:rPr>
        <w:t>Racial identity is another key pressor influencing vote choice and refers to racial identities of the voters (Bellucci &amp; Heath, 2011). Racial voting is when electorates vote for a party or an individual who represents the interests of their racial group. This alignment becomes visible with the support that minority voters cast for anti-discrimination, affirmative action and multiculturalism while majority tend to vote in favour of nationalism, immigration control or law enforcement. In addition, racial difference is observable in political participation whereby the minority voters tend to have lower voter turnouts due to underrepresentation integration problems and limited empowerment process (Bellucci &amp; Heath, 2011).</w:t>
      </w:r>
    </w:p>
    <w:p w:rsidR="00FB2F3D" w:rsidRPr="00FB2F3D" w:rsidRDefault="00FB2F3D" w:rsidP="00FB2F3D">
      <w:pPr>
        <w:spacing w:line="276" w:lineRule="auto"/>
        <w:jc w:val="center"/>
        <w:rPr>
          <w:rFonts w:ascii="Times New Roman" w:hAnsi="Times New Roman" w:cs="Times New Roman"/>
          <w:b/>
          <w:sz w:val="24"/>
          <w:szCs w:val="24"/>
        </w:rPr>
      </w:pPr>
      <w:r w:rsidRPr="00FB2F3D">
        <w:rPr>
          <w:rFonts w:ascii="Times New Roman" w:hAnsi="Times New Roman" w:cs="Times New Roman"/>
          <w:b/>
          <w:sz w:val="24"/>
          <w:szCs w:val="24"/>
        </w:rPr>
        <w:t>Education</w:t>
      </w:r>
    </w:p>
    <w:p w:rsidR="00FB2F3D" w:rsidRPr="00FB2F3D" w:rsidRDefault="00FB2F3D" w:rsidP="00FB2F3D">
      <w:pPr>
        <w:spacing w:line="276" w:lineRule="auto"/>
        <w:jc w:val="both"/>
        <w:rPr>
          <w:rFonts w:ascii="Times New Roman" w:hAnsi="Times New Roman" w:cs="Times New Roman"/>
          <w:sz w:val="24"/>
          <w:szCs w:val="24"/>
        </w:rPr>
      </w:pPr>
      <w:r w:rsidRPr="00FB2F3D">
        <w:rPr>
          <w:rFonts w:ascii="Times New Roman" w:hAnsi="Times New Roman" w:cs="Times New Roman"/>
          <w:sz w:val="24"/>
          <w:szCs w:val="24"/>
        </w:rPr>
        <w:t xml:space="preserve">Education is also very important in voting behavior, because it shows the amount of knowledge and </w:t>
      </w:r>
      <w:r w:rsidR="00E65C86" w:rsidRPr="00FB2F3D">
        <w:rPr>
          <w:rFonts w:ascii="Times New Roman" w:hAnsi="Times New Roman" w:cs="Times New Roman"/>
          <w:sz w:val="24"/>
          <w:szCs w:val="24"/>
        </w:rPr>
        <w:t>complexity</w:t>
      </w:r>
      <w:r w:rsidRPr="00FB2F3D">
        <w:rPr>
          <w:rFonts w:ascii="Times New Roman" w:hAnsi="Times New Roman" w:cs="Times New Roman"/>
          <w:sz w:val="24"/>
          <w:szCs w:val="24"/>
        </w:rPr>
        <w:t xml:space="preserve"> possessed by people (Snyder, 2011). Cognitive capacity and preference voting patterns indicate that people tend to vote for the party or candidate in accordance with their cognitive capability. Moreover, it is observed that education positively influences political participation through increasing voter turnout rates because of greater knowledge and confidence in rationality.</w:t>
      </w:r>
    </w:p>
    <w:p w:rsidR="00FB2F3D" w:rsidRPr="00FB2F3D" w:rsidRDefault="00FB2F3D" w:rsidP="00FB2F3D">
      <w:pPr>
        <w:spacing w:line="276" w:lineRule="auto"/>
        <w:jc w:val="both"/>
        <w:rPr>
          <w:rFonts w:ascii="Times New Roman" w:hAnsi="Times New Roman" w:cs="Times New Roman"/>
          <w:sz w:val="24"/>
          <w:szCs w:val="24"/>
        </w:rPr>
      </w:pPr>
    </w:p>
    <w:p w:rsidR="00901F5D" w:rsidRPr="00901F5D" w:rsidRDefault="00FB2F3D" w:rsidP="00FB2F3D">
      <w:pPr>
        <w:spacing w:line="276" w:lineRule="auto"/>
        <w:jc w:val="both"/>
        <w:rPr>
          <w:rFonts w:ascii="Times New Roman" w:hAnsi="Times New Roman" w:cs="Times New Roman"/>
          <w:sz w:val="24"/>
          <w:szCs w:val="24"/>
        </w:rPr>
      </w:pPr>
      <w:r w:rsidRPr="00FB2F3D">
        <w:rPr>
          <w:rFonts w:ascii="Times New Roman" w:hAnsi="Times New Roman" w:cs="Times New Roman"/>
          <w:sz w:val="24"/>
          <w:szCs w:val="24"/>
        </w:rPr>
        <w:t> </w:t>
      </w:r>
    </w:p>
    <w:p w:rsidR="008B17B3" w:rsidRDefault="008B17B3" w:rsidP="00D15636">
      <w:pPr>
        <w:spacing w:after="0" w:line="276" w:lineRule="auto"/>
        <w:jc w:val="center"/>
        <w:rPr>
          <w:rFonts w:ascii="Times New Roman" w:hAnsi="Times New Roman" w:cs="Times New Roman"/>
          <w:b/>
          <w:sz w:val="24"/>
          <w:szCs w:val="24"/>
        </w:rPr>
      </w:pPr>
      <w:r w:rsidRPr="00E45CFE">
        <w:rPr>
          <w:rFonts w:ascii="Times New Roman" w:hAnsi="Times New Roman" w:cs="Times New Roman"/>
          <w:b/>
          <w:sz w:val="24"/>
          <w:szCs w:val="24"/>
        </w:rPr>
        <w:t>Conclusion</w:t>
      </w:r>
    </w:p>
    <w:p w:rsidR="00D15636" w:rsidRPr="00E45CFE" w:rsidRDefault="00D15636" w:rsidP="00D15636">
      <w:pPr>
        <w:spacing w:after="0" w:line="276" w:lineRule="auto"/>
        <w:jc w:val="center"/>
        <w:rPr>
          <w:rFonts w:ascii="Times New Roman" w:hAnsi="Times New Roman" w:cs="Times New Roman"/>
          <w:b/>
          <w:sz w:val="24"/>
          <w:szCs w:val="24"/>
        </w:rPr>
      </w:pPr>
    </w:p>
    <w:p w:rsidR="00F41E78" w:rsidRPr="00F41E78" w:rsidRDefault="008B17B3" w:rsidP="00C40F77">
      <w:pPr>
        <w:spacing w:after="0" w:line="276" w:lineRule="auto"/>
        <w:rPr>
          <w:rFonts w:ascii="Times New Roman" w:eastAsia="Times New Roman" w:hAnsi="Times New Roman" w:cs="Times New Roman"/>
          <w:sz w:val="24"/>
          <w:szCs w:val="24"/>
        </w:rPr>
      </w:pPr>
      <w:r w:rsidRPr="008B17B3">
        <w:rPr>
          <w:rFonts w:ascii="Times New Roman" w:hAnsi="Times New Roman" w:cs="Times New Roman"/>
          <w:sz w:val="24"/>
          <w:szCs w:val="24"/>
        </w:rPr>
        <w:t xml:space="preserve">In conclusion, </w:t>
      </w:r>
      <w:r w:rsidR="00FB2F3D" w:rsidRPr="00FB2F3D">
        <w:rPr>
          <w:rFonts w:ascii="Times New Roman" w:hAnsi="Times New Roman" w:cs="Times New Roman"/>
          <w:sz w:val="24"/>
          <w:szCs w:val="24"/>
        </w:rPr>
        <w:t>voting pattern is a multifaceted behavior which are conditioned by various factors such as age, religion and social strata. These variables also greatly influence the opinions and behavior of people when it comes to politics. Knowing how these factors affect voting patterns enables political scientists to describe and explain the workings of elections as well as democracy better. On the other hand, it should be emphasized that these elements are not constant and absolute but may influence one another as well as variables in the political system. Therefore, predicting the results of voting is not an exact science but a subjective and contextual approach.</w:t>
      </w:r>
    </w:p>
    <w:p w:rsidR="00FB2F3D" w:rsidRDefault="005D6E08" w:rsidP="005D6E08">
      <w:pPr>
        <w:tabs>
          <w:tab w:val="left" w:pos="7530"/>
        </w:tabs>
        <w:spacing w:after="0" w:line="48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b/>
      </w: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FB2F3D" w:rsidRDefault="00FB2F3D" w:rsidP="00C40F77">
      <w:pPr>
        <w:spacing w:after="0" w:line="480" w:lineRule="auto"/>
        <w:jc w:val="center"/>
        <w:outlineLvl w:val="0"/>
        <w:rPr>
          <w:rFonts w:ascii="Times New Roman" w:eastAsia="Times New Roman" w:hAnsi="Times New Roman" w:cs="Times New Roman"/>
          <w:b/>
          <w:bCs/>
          <w:kern w:val="36"/>
          <w:sz w:val="24"/>
          <w:szCs w:val="24"/>
        </w:rPr>
      </w:pPr>
    </w:p>
    <w:p w:rsidR="00C40F77" w:rsidRPr="00C40F77" w:rsidRDefault="00C40F77" w:rsidP="00C40F77">
      <w:pPr>
        <w:spacing w:after="0" w:line="480" w:lineRule="auto"/>
        <w:jc w:val="center"/>
        <w:outlineLvl w:val="0"/>
        <w:rPr>
          <w:rFonts w:ascii="Times New Roman" w:eastAsia="Times New Roman" w:hAnsi="Times New Roman" w:cs="Times New Roman"/>
          <w:b/>
          <w:bCs/>
          <w:kern w:val="36"/>
          <w:sz w:val="24"/>
          <w:szCs w:val="24"/>
        </w:rPr>
      </w:pPr>
      <w:r w:rsidRPr="00C40F77">
        <w:rPr>
          <w:rFonts w:ascii="Times New Roman" w:eastAsia="Times New Roman" w:hAnsi="Times New Roman" w:cs="Times New Roman"/>
          <w:b/>
          <w:bCs/>
          <w:kern w:val="36"/>
          <w:sz w:val="24"/>
          <w:szCs w:val="24"/>
        </w:rPr>
        <w:t>References</w:t>
      </w:r>
    </w:p>
    <w:p w:rsidR="00C40F77" w:rsidRPr="00C40F77" w:rsidRDefault="00C40F77" w:rsidP="00C40F77">
      <w:pPr>
        <w:spacing w:after="0" w:line="480" w:lineRule="auto"/>
        <w:ind w:hanging="720"/>
        <w:rPr>
          <w:rFonts w:ascii="Times New Roman" w:eastAsia="Times New Roman" w:hAnsi="Times New Roman" w:cs="Times New Roman"/>
          <w:sz w:val="24"/>
          <w:szCs w:val="24"/>
        </w:rPr>
      </w:pPr>
      <w:r w:rsidRPr="00C40F77">
        <w:rPr>
          <w:rFonts w:ascii="Times New Roman" w:eastAsia="Times New Roman" w:hAnsi="Times New Roman" w:cs="Times New Roman"/>
          <w:sz w:val="24"/>
          <w:szCs w:val="24"/>
        </w:rPr>
        <w:t xml:space="preserve">Bellucci, P., &amp; Heath, O. (2011). The Structure of Party-Organization Linkages and the Electoral Strength of Cleavages in Italy, 1963–2008. British Journal of Political Science, 42(1), 107–135. DOI: 10.1017/s0007123411000226. </w:t>
      </w:r>
    </w:p>
    <w:p w:rsidR="00C40F77" w:rsidRPr="00C40F77" w:rsidRDefault="00C40F77" w:rsidP="00DD2C8F">
      <w:pPr>
        <w:spacing w:after="0" w:line="480" w:lineRule="auto"/>
        <w:ind w:hanging="720"/>
        <w:rPr>
          <w:rFonts w:ascii="Times New Roman" w:eastAsia="Times New Roman" w:hAnsi="Times New Roman" w:cs="Times New Roman"/>
          <w:sz w:val="24"/>
          <w:szCs w:val="24"/>
        </w:rPr>
      </w:pPr>
      <w:r w:rsidRPr="00C40F77">
        <w:rPr>
          <w:rFonts w:ascii="Times New Roman" w:eastAsia="Times New Roman" w:hAnsi="Times New Roman" w:cs="Times New Roman"/>
          <w:sz w:val="24"/>
          <w:szCs w:val="24"/>
        </w:rPr>
        <w:t xml:space="preserve">  Evans, J. H., &amp; Olson, L. R. (2020). Religion, Partisanship, and Polarization. British Journal of Political Science, 50(1), 249-262. DOI: 10.1017/s0007123417000854 Keele, L., &amp; McCarty, N. (2020). The economic determinants of voters’ left-right preferences. American Journal of Political Science, 64(3), 677-690. DOI: 10.1111/ajps.12548   </w:t>
      </w:r>
    </w:p>
    <w:p w:rsidR="00C40F77" w:rsidRPr="00C40F77" w:rsidRDefault="00C40F77" w:rsidP="00C40F77">
      <w:pPr>
        <w:spacing w:after="0" w:line="480" w:lineRule="auto"/>
        <w:ind w:hanging="720"/>
        <w:rPr>
          <w:rFonts w:ascii="Times New Roman" w:eastAsia="Times New Roman" w:hAnsi="Times New Roman" w:cs="Times New Roman"/>
          <w:sz w:val="24"/>
          <w:szCs w:val="24"/>
        </w:rPr>
      </w:pPr>
      <w:r w:rsidRPr="00C40F77">
        <w:rPr>
          <w:rFonts w:ascii="Times New Roman" w:eastAsia="Times New Roman" w:hAnsi="Times New Roman" w:cs="Times New Roman"/>
          <w:sz w:val="24"/>
          <w:szCs w:val="24"/>
        </w:rPr>
        <w:t xml:space="preserve">Schildkraut, D. J., &amp; Hernández, M. T. (2018). Skin color and political attitudes: Evidence from 3 survey experiments. American Journal of Political Science, 62(4), 833-849. DOI: 10.1111/ajps.12363 </w:t>
      </w:r>
    </w:p>
    <w:p w:rsidR="00C40F77" w:rsidRPr="00C40F77" w:rsidRDefault="00C40F77" w:rsidP="00C40F77">
      <w:pPr>
        <w:spacing w:after="0" w:line="480" w:lineRule="auto"/>
        <w:ind w:hanging="720"/>
        <w:rPr>
          <w:rFonts w:ascii="Times New Roman" w:eastAsia="Times New Roman" w:hAnsi="Times New Roman" w:cs="Times New Roman"/>
          <w:sz w:val="24"/>
          <w:szCs w:val="24"/>
        </w:rPr>
      </w:pPr>
      <w:r w:rsidRPr="00C40F77">
        <w:rPr>
          <w:rFonts w:ascii="Times New Roman" w:eastAsia="Times New Roman" w:hAnsi="Times New Roman" w:cs="Times New Roman"/>
          <w:sz w:val="24"/>
          <w:szCs w:val="24"/>
        </w:rPr>
        <w:t xml:space="preserve">Valentino, N. A., &amp; Vandenbroek, L. (2020). Elite Cues and Citizens' Issue Priorities: A Panel Analysis. American Journal of Political Science, 64(1), 56-72. DOI: 10.1111/ajps.12462 </w:t>
      </w:r>
    </w:p>
    <w:p w:rsidR="005C12A5" w:rsidRPr="00BC0097" w:rsidRDefault="005C12A5" w:rsidP="00D15636">
      <w:pPr>
        <w:spacing w:line="276" w:lineRule="auto"/>
        <w:jc w:val="both"/>
        <w:rPr>
          <w:rFonts w:ascii="Times New Roman" w:hAnsi="Times New Roman" w:cs="Times New Roman"/>
          <w:sz w:val="24"/>
          <w:szCs w:val="24"/>
        </w:rPr>
      </w:pPr>
      <w:bookmarkStart w:id="0" w:name="_GoBack"/>
      <w:bookmarkEnd w:id="0"/>
    </w:p>
    <w:sectPr w:rsidR="005C12A5" w:rsidRPr="00BC00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F0" w:rsidRDefault="00B90CF0" w:rsidP="005D6E08">
      <w:pPr>
        <w:spacing w:after="0" w:line="240" w:lineRule="auto"/>
      </w:pPr>
      <w:r>
        <w:separator/>
      </w:r>
    </w:p>
  </w:endnote>
  <w:endnote w:type="continuationSeparator" w:id="0">
    <w:p w:rsidR="00B90CF0" w:rsidRDefault="00B90CF0" w:rsidP="005D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F0" w:rsidRDefault="00B90CF0" w:rsidP="005D6E08">
      <w:pPr>
        <w:spacing w:after="0" w:line="240" w:lineRule="auto"/>
      </w:pPr>
      <w:r>
        <w:separator/>
      </w:r>
    </w:p>
  </w:footnote>
  <w:footnote w:type="continuationSeparator" w:id="0">
    <w:p w:rsidR="00B90CF0" w:rsidRDefault="00B90CF0" w:rsidP="005D6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97"/>
    <w:rsid w:val="00186FD0"/>
    <w:rsid w:val="001A3F1D"/>
    <w:rsid w:val="001E569A"/>
    <w:rsid w:val="002662D0"/>
    <w:rsid w:val="003F432F"/>
    <w:rsid w:val="0040129C"/>
    <w:rsid w:val="00414B04"/>
    <w:rsid w:val="00447F0E"/>
    <w:rsid w:val="004C302C"/>
    <w:rsid w:val="005C12A5"/>
    <w:rsid w:val="005D6E08"/>
    <w:rsid w:val="00676055"/>
    <w:rsid w:val="00841133"/>
    <w:rsid w:val="00895D29"/>
    <w:rsid w:val="008B17B3"/>
    <w:rsid w:val="008D0E5C"/>
    <w:rsid w:val="00901F5D"/>
    <w:rsid w:val="00A81262"/>
    <w:rsid w:val="00B90CF0"/>
    <w:rsid w:val="00BC0097"/>
    <w:rsid w:val="00C40F77"/>
    <w:rsid w:val="00D15636"/>
    <w:rsid w:val="00DD2C8F"/>
    <w:rsid w:val="00E45CFE"/>
    <w:rsid w:val="00E65C86"/>
    <w:rsid w:val="00EF61A4"/>
    <w:rsid w:val="00F41E78"/>
    <w:rsid w:val="00FB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F5D3D-4AE4-4DB9-8697-379DB06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1E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B04"/>
    <w:rPr>
      <w:sz w:val="16"/>
      <w:szCs w:val="16"/>
    </w:rPr>
  </w:style>
  <w:style w:type="paragraph" w:styleId="CommentText">
    <w:name w:val="annotation text"/>
    <w:basedOn w:val="Normal"/>
    <w:link w:val="CommentTextChar"/>
    <w:uiPriority w:val="99"/>
    <w:semiHidden/>
    <w:unhideWhenUsed/>
    <w:rsid w:val="00414B04"/>
    <w:pPr>
      <w:spacing w:line="240" w:lineRule="auto"/>
    </w:pPr>
    <w:rPr>
      <w:sz w:val="20"/>
      <w:szCs w:val="20"/>
    </w:rPr>
  </w:style>
  <w:style w:type="character" w:customStyle="1" w:styleId="CommentTextChar">
    <w:name w:val="Comment Text Char"/>
    <w:basedOn w:val="DefaultParagraphFont"/>
    <w:link w:val="CommentText"/>
    <w:uiPriority w:val="99"/>
    <w:semiHidden/>
    <w:rsid w:val="00414B04"/>
    <w:rPr>
      <w:sz w:val="20"/>
      <w:szCs w:val="20"/>
    </w:rPr>
  </w:style>
  <w:style w:type="paragraph" w:styleId="CommentSubject">
    <w:name w:val="annotation subject"/>
    <w:basedOn w:val="CommentText"/>
    <w:next w:val="CommentText"/>
    <w:link w:val="CommentSubjectChar"/>
    <w:uiPriority w:val="99"/>
    <w:semiHidden/>
    <w:unhideWhenUsed/>
    <w:rsid w:val="00414B04"/>
    <w:rPr>
      <w:b/>
      <w:bCs/>
    </w:rPr>
  </w:style>
  <w:style w:type="character" w:customStyle="1" w:styleId="CommentSubjectChar">
    <w:name w:val="Comment Subject Char"/>
    <w:basedOn w:val="CommentTextChar"/>
    <w:link w:val="CommentSubject"/>
    <w:uiPriority w:val="99"/>
    <w:semiHidden/>
    <w:rsid w:val="00414B04"/>
    <w:rPr>
      <w:b/>
      <w:bCs/>
      <w:sz w:val="20"/>
      <w:szCs w:val="20"/>
    </w:rPr>
  </w:style>
  <w:style w:type="paragraph" w:styleId="BalloonText">
    <w:name w:val="Balloon Text"/>
    <w:basedOn w:val="Normal"/>
    <w:link w:val="BalloonTextChar"/>
    <w:uiPriority w:val="99"/>
    <w:semiHidden/>
    <w:unhideWhenUsed/>
    <w:rsid w:val="00414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04"/>
    <w:rPr>
      <w:rFonts w:ascii="Segoe UI" w:hAnsi="Segoe UI" w:cs="Segoe UI"/>
      <w:sz w:val="18"/>
      <w:szCs w:val="18"/>
    </w:rPr>
  </w:style>
  <w:style w:type="character" w:customStyle="1" w:styleId="Heading1Char">
    <w:name w:val="Heading 1 Char"/>
    <w:basedOn w:val="DefaultParagraphFont"/>
    <w:link w:val="Heading1"/>
    <w:uiPriority w:val="9"/>
    <w:rsid w:val="00F41E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15636"/>
    <w:rPr>
      <w:color w:val="0563C1" w:themeColor="hyperlink"/>
      <w:u w:val="single"/>
    </w:rPr>
  </w:style>
  <w:style w:type="paragraph" w:styleId="Header">
    <w:name w:val="header"/>
    <w:basedOn w:val="Normal"/>
    <w:link w:val="HeaderChar"/>
    <w:uiPriority w:val="99"/>
    <w:unhideWhenUsed/>
    <w:rsid w:val="005D6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E08"/>
  </w:style>
  <w:style w:type="paragraph" w:styleId="Footer">
    <w:name w:val="footer"/>
    <w:basedOn w:val="Normal"/>
    <w:link w:val="FooterChar"/>
    <w:uiPriority w:val="99"/>
    <w:unhideWhenUsed/>
    <w:rsid w:val="005D6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838">
      <w:bodyDiv w:val="1"/>
      <w:marLeft w:val="0"/>
      <w:marRight w:val="0"/>
      <w:marTop w:val="0"/>
      <w:marBottom w:val="0"/>
      <w:divBdr>
        <w:top w:val="none" w:sz="0" w:space="0" w:color="auto"/>
        <w:left w:val="none" w:sz="0" w:space="0" w:color="auto"/>
        <w:bottom w:val="none" w:sz="0" w:space="0" w:color="auto"/>
        <w:right w:val="none" w:sz="0" w:space="0" w:color="auto"/>
      </w:divBdr>
      <w:divsChild>
        <w:div w:id="1373263208">
          <w:marLeft w:val="-720"/>
          <w:marRight w:val="0"/>
          <w:marTop w:val="0"/>
          <w:marBottom w:val="0"/>
          <w:divBdr>
            <w:top w:val="none" w:sz="0" w:space="0" w:color="auto"/>
            <w:left w:val="none" w:sz="0" w:space="0" w:color="auto"/>
            <w:bottom w:val="none" w:sz="0" w:space="0" w:color="auto"/>
            <w:right w:val="none" w:sz="0" w:space="0" w:color="auto"/>
          </w:divBdr>
        </w:div>
      </w:divsChild>
    </w:div>
    <w:div w:id="566301632">
      <w:bodyDiv w:val="1"/>
      <w:marLeft w:val="0"/>
      <w:marRight w:val="0"/>
      <w:marTop w:val="0"/>
      <w:marBottom w:val="0"/>
      <w:divBdr>
        <w:top w:val="none" w:sz="0" w:space="0" w:color="auto"/>
        <w:left w:val="none" w:sz="0" w:space="0" w:color="auto"/>
        <w:bottom w:val="none" w:sz="0" w:space="0" w:color="auto"/>
        <w:right w:val="none" w:sz="0" w:space="0" w:color="auto"/>
      </w:divBdr>
    </w:div>
    <w:div w:id="1501577106">
      <w:bodyDiv w:val="1"/>
      <w:marLeft w:val="0"/>
      <w:marRight w:val="0"/>
      <w:marTop w:val="0"/>
      <w:marBottom w:val="0"/>
      <w:divBdr>
        <w:top w:val="none" w:sz="0" w:space="0" w:color="auto"/>
        <w:left w:val="none" w:sz="0" w:space="0" w:color="auto"/>
        <w:bottom w:val="none" w:sz="0" w:space="0" w:color="auto"/>
        <w:right w:val="none" w:sz="0" w:space="0" w:color="auto"/>
      </w:divBdr>
      <w:divsChild>
        <w:div w:id="1687907294">
          <w:marLeft w:val="-720"/>
          <w:marRight w:val="0"/>
          <w:marTop w:val="0"/>
          <w:marBottom w:val="0"/>
          <w:divBdr>
            <w:top w:val="none" w:sz="0" w:space="0" w:color="auto"/>
            <w:left w:val="none" w:sz="0" w:space="0" w:color="auto"/>
            <w:bottom w:val="none" w:sz="0" w:space="0" w:color="auto"/>
            <w:right w:val="none" w:sz="0" w:space="0" w:color="auto"/>
          </w:divBdr>
        </w:div>
      </w:divsChild>
    </w:div>
    <w:div w:id="1695112398">
      <w:bodyDiv w:val="1"/>
      <w:marLeft w:val="0"/>
      <w:marRight w:val="0"/>
      <w:marTop w:val="0"/>
      <w:marBottom w:val="0"/>
      <w:divBdr>
        <w:top w:val="none" w:sz="0" w:space="0" w:color="auto"/>
        <w:left w:val="none" w:sz="0" w:space="0" w:color="auto"/>
        <w:bottom w:val="none" w:sz="0" w:space="0" w:color="auto"/>
        <w:right w:val="none" w:sz="0" w:space="0" w:color="auto"/>
      </w:divBdr>
    </w:div>
    <w:div w:id="18993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2024-01-17T09:51:00Z</dcterms:created>
  <dcterms:modified xsi:type="dcterms:W3CDTF">2024-01-19T13:01:00Z</dcterms:modified>
</cp:coreProperties>
</file>