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53"/>
        <w:jc w:val="center"/>
        <w:rPr>
          <w:rFonts w:cs="Times New Roman"/>
          <w:bCs/>
          <w:szCs w:val="24"/>
        </w:rPr>
      </w:pPr>
      <w:bookmarkStart w:id="0" w:name="_GoBack"/>
      <w:bookmarkEnd w:id="0"/>
    </w:p>
    <w:p>
      <w:pPr>
        <w:pStyle w:val="style0"/>
        <w:spacing w:lineRule="auto" w:line="253"/>
        <w:jc w:val="center"/>
        <w:rPr>
          <w:rFonts w:cs="Times New Roman"/>
          <w:bCs/>
          <w:szCs w:val="24"/>
        </w:rPr>
      </w:pPr>
      <w:r>
        <w:rPr>
          <w:rFonts w:cs="Times New Roman"/>
          <w:bCs/>
          <w:szCs w:val="24"/>
        </w:rPr>
        <w:t>Institution</w:t>
      </w:r>
      <w:r>
        <w:rPr>
          <w:rFonts w:cs="Times New Roman"/>
          <w:bCs/>
          <w:szCs w:val="24"/>
        </w:rPr>
        <w:t xml:space="preserve"> </w:t>
      </w:r>
      <w:r>
        <w:rPr>
          <w:rFonts w:cs="Times New Roman"/>
          <w:bCs/>
          <w:szCs w:val="24"/>
        </w:rPr>
        <w:t>Name</w:t>
      </w: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r>
        <w:rPr>
          <w:rFonts w:cs="Times New Roman"/>
          <w:bCs/>
          <w:szCs w:val="24"/>
        </w:rPr>
        <w:t>Student Name</w:t>
      </w: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r>
        <w:rPr>
          <w:rFonts w:cs="Times New Roman"/>
          <w:bCs/>
          <w:szCs w:val="24"/>
        </w:rPr>
        <w:t>Student I</w:t>
      </w:r>
      <w:r>
        <w:rPr>
          <w:rFonts w:cs="Times New Roman"/>
          <w:bCs/>
          <w:szCs w:val="24"/>
        </w:rPr>
        <w:t>D</w:t>
      </w: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r>
        <w:rPr>
          <w:rFonts w:cs="Times New Roman"/>
          <w:bCs/>
          <w:szCs w:val="24"/>
        </w:rPr>
        <w:t>Tutor</w:t>
      </w: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r>
        <w:rPr>
          <w:rFonts w:cs="Times New Roman"/>
          <w:bCs/>
          <w:szCs w:val="24"/>
        </w:rPr>
        <w:t>Date</w:t>
      </w: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center"/>
        <w:rPr>
          <w:rFonts w:cs="Times New Roman"/>
          <w:bCs/>
          <w:szCs w:val="24"/>
        </w:rPr>
      </w:pPr>
    </w:p>
    <w:p>
      <w:pPr>
        <w:pStyle w:val="style0"/>
        <w:spacing w:lineRule="auto" w:line="253"/>
        <w:jc w:val="left"/>
        <w:rPr>
          <w:rFonts w:cs="Times New Roman"/>
          <w:bCs/>
          <w:szCs w:val="24"/>
        </w:rPr>
      </w:pPr>
    </w:p>
    <w:p>
      <w:pPr>
        <w:pStyle w:val="style0"/>
        <w:spacing w:lineRule="auto" w:line="259"/>
        <w:jc w:val="left"/>
        <w:rPr>
          <w:b/>
          <w:bCs/>
        </w:rPr>
      </w:pPr>
    </w:p>
    <w:p>
      <w:pPr>
        <w:pStyle w:val="style0"/>
        <w:spacing w:lineRule="auto" w:line="259"/>
        <w:jc w:val="left"/>
        <w:rPr>
          <w:b/>
          <w:bCs/>
        </w:rPr>
      </w:pPr>
      <w:r>
        <w:rPr>
          <w:b/>
          <w:bCs/>
        </w:rPr>
        <w:br w:type="page"/>
      </w:r>
    </w:p>
    <w:p>
      <w:pPr>
        <w:pStyle w:val="style0"/>
        <w:ind w:firstLine="720"/>
        <w:jc w:val="center"/>
        <w:rPr/>
      </w:pPr>
      <w:r>
        <w:t>Definition and Overview</w:t>
      </w:r>
    </w:p>
    <w:p>
      <w:pPr>
        <w:pStyle w:val="style0"/>
        <w:ind w:firstLine="720"/>
        <w:rPr/>
      </w:pPr>
      <w:r>
        <w:t>The person-centered approach is a guiding concept that emphasizes the value of uniqueness, autonomy, and respect across a variety of disciplines, including healthcare, education, and social services (Smith, Fowler, &amp; Darling, 2019). Developed in the mid-20th century by psychologist Carl Rogers, this approach has subsequently gained prominence and significance in promoting holistic and patient-centered care. It arose as a reaction to previous expert-led methods, which frequently neglected individuals' particular needs and preferences. The person-centered approach prioritizes the individual in decision-making, acknowledging their capacity for self-direction and self-actualization. Its value is in developing a sense of empowerment, improving health outcomes, increasing satisfaction, and strengthening relationships between service providers and recipients.</w:t>
      </w:r>
    </w:p>
    <w:p>
      <w:pPr>
        <w:pStyle w:val="style0"/>
        <w:ind w:firstLine="720"/>
        <w:jc w:val="center"/>
        <w:rPr/>
      </w:pPr>
      <w:r>
        <w:t>Key Principles</w:t>
      </w:r>
    </w:p>
    <w:p>
      <w:pPr>
        <w:pStyle w:val="style0"/>
        <w:ind w:firstLine="720"/>
        <w:rPr/>
      </w:pPr>
      <w:r>
        <w:t>The person-centered approach is founded on a set of core concepts that guide its application across multiple disciplines. To begin, tailored care is critical, acknowledging that each individual has unique requirements, preferences, and experiences. It entails adapting services and interventions to the individual's specific circumstances, fostering a sense of ownership and personal investment. Second, partnership and collaboration between the individual and the supplier are required. The individual is considered an active decision-maker, with their ideas, values, and goals acknowledged and valued (Smith et al., 2019). This collaboration promotes shared accountability, trust, and decision-making, ensuring that the individual's perspective is heard and incorporated into the care process.</w:t>
      </w:r>
    </w:p>
    <w:p>
      <w:pPr>
        <w:pStyle w:val="style0"/>
        <w:ind w:firstLine="720"/>
        <w:jc w:val="center"/>
        <w:rPr/>
      </w:pPr>
      <w:r>
        <w:t>Core Elements</w:t>
      </w:r>
    </w:p>
    <w:p>
      <w:pPr>
        <w:pStyle w:val="style0"/>
        <w:ind w:firstLine="720"/>
        <w:rPr/>
      </w:pPr>
      <w:r>
        <w:t xml:space="preserve">A person-centered approach's main aspects include numerous critical components. This strategy is built on empathy and understanding, with support providers recognizing and sharing the person's emotions, viewpoints, and experiences. This empathic connection builds trust and rapport, enabling open and honest dialogue. Respect, dignity, and cultural awareness are also vital components of person-centered care. It entails understanding each person's intrinsic worth and value, treating them with dignity, and respecting their cultural beliefs and traditions (Smith et al., </w:t>
      </w:r>
      <w:r>
        <w:t>2019). Service providers can foster a secure and inclusive environment that fosters person-centered care by respecting their individuality and cultural context.</w:t>
      </w:r>
    </w:p>
    <w:p>
      <w:pPr>
        <w:pStyle w:val="style0"/>
        <w:ind w:firstLine="720"/>
        <w:jc w:val="center"/>
        <w:rPr/>
      </w:pPr>
      <w:r>
        <w:t>Benefits and Advantages</w:t>
      </w:r>
    </w:p>
    <w:p>
      <w:pPr>
        <w:pStyle w:val="style0"/>
        <w:ind w:firstLine="720"/>
        <w:rPr/>
      </w:pPr>
      <w:r>
        <w:t>Adopting a person-centered approach has multiple benefits and advantages in a variety of professions. For starters, by recognizing and valuing individual preferences and requirements, this approach improves patient satisfaction and participation. Involving patients in decision-making fosters a sense of empowerment and autonomy, which leads to higher satisfaction with care received. Second, research shows that person-centered care improves health outcomes and general well-being. According to research, when patients are actively engaged in their care and their values and goals are considered, they have better treatment results, fewer hospital readmissions, and better adherence to treatment regimens (Taylor et al., 2020).</w:t>
      </w:r>
    </w:p>
    <w:p>
      <w:pPr>
        <w:pStyle w:val="style0"/>
        <w:ind w:firstLine="720"/>
        <w:jc w:val="center"/>
        <w:rPr/>
      </w:pPr>
      <w:r>
        <w:t>Application in Different Fields</w:t>
      </w:r>
    </w:p>
    <w:p>
      <w:pPr>
        <w:pStyle w:val="style0"/>
        <w:ind w:firstLine="720"/>
        <w:rPr/>
      </w:pPr>
      <w:r>
        <w:t>Person-centered approaches are used in a variety of sectors, including healthcare, counseling, therapy, and social work. This method is critical in healthcare for developing patient-centered treatment. Patients' needs, preferences, and aspirations can be better understood by incorporating them in decision-making, resulting in more effective and tailored treatment approaches. The person-centered approach to counseling and therapy stresses the creation of a nonjudgmental and empathic therapeutic atmosphere in which the individual feels understood and valued (Taylor et al., 2020). This technique can also be used in social work, education, and other sectors where the emphasis is on recognizing and satisfying individuals' specific needs and situations.</w:t>
      </w:r>
    </w:p>
    <w:p>
      <w:pPr>
        <w:pStyle w:val="style0"/>
        <w:ind w:firstLine="720"/>
        <w:jc w:val="center"/>
        <w:rPr/>
      </w:pPr>
      <w:r>
        <w:t>Challenges and Considerations</w:t>
      </w:r>
    </w:p>
    <w:p>
      <w:pPr>
        <w:pStyle w:val="style0"/>
        <w:ind w:firstLine="720"/>
        <w:rPr/>
      </w:pPr>
      <w:r>
        <w:t xml:space="preserve">In many circumstances, implementing a person-centered approach can bring some obstacles. The shift in power dynamics between service providers and recipients is one possible obstacle. Professionals frequently wield authority and decision-making power in traditional models, whereas the person-centered approach necessitates a move toward shared decision-making and collaboration (Parker &amp; </w:t>
      </w:r>
      <w:r>
        <w:t>Canan</w:t>
      </w:r>
      <w:r>
        <w:t xml:space="preserve">, 2020). This adjustment may necessitate a mental shift and a willingness to abandon the traditional expert-led approach. Resources and time restrictions can be impediments to implementing person-centered care on a larger scale. To address these problems, </w:t>
      </w:r>
      <w:r>
        <w:t>service providers must receive enough training and assistance. Respecting confidentiality, preserving boundaries, and ensuring cultural competence in varied settings are all ethical considerations (Beck et al., 2021). Balancing individual autonomy and safety can be a difficult ethical dilemma that must be properly managed.</w:t>
      </w:r>
    </w:p>
    <w:p>
      <w:pPr>
        <w:pStyle w:val="style0"/>
        <w:ind w:firstLine="720"/>
        <w:jc w:val="center"/>
        <w:rPr/>
      </w:pPr>
      <w:r>
        <w:t>Future Directions</w:t>
      </w:r>
    </w:p>
    <w:p>
      <w:pPr>
        <w:pStyle w:val="style0"/>
        <w:ind w:firstLine="720"/>
        <w:rPr/>
      </w:pPr>
      <w:r>
        <w:t>Person-centered care is a developing field with continuing trends and advances aimed at improving its implementation and impact. Integration of technology to support person-centered methods is one contemporary trend. This involves using electronic health records, telehealth, and mobile health apps to improve communication, shared decision-making, and access to individualized information (</w:t>
      </w:r>
      <w:r>
        <w:t>Halamka</w:t>
      </w:r>
      <w:r>
        <w:t xml:space="preserve"> &amp; Tripathi, 2020). Data analytics and artificial intelligence, when combined, have the ability to deliver individualized insights and recommendations for tailored care plans (McCarthy et al., 2019).</w:t>
      </w:r>
    </w:p>
    <w:p>
      <w:pPr>
        <w:pStyle w:val="style0"/>
        <w:ind w:firstLine="720"/>
        <w:rPr/>
      </w:pPr>
      <w:r>
        <w:t>Future advancements and innovations are increasingly focusing on the integration of social determinants of health in person-centered care.</w:t>
      </w:r>
      <w:r>
        <w:t xml:space="preserve"> </w:t>
      </w:r>
      <w:r>
        <w:t>Recognizing that factors such as socioeconomic position, education, and housing influence an individual's health and well-being, attempts are being made to address these determinants in care planning and delivery (Srinivasan et al., 2021). This comprehensive strategy strives to promote health equity while also addressing systemic barriers to care.</w:t>
      </w:r>
    </w:p>
    <w:p>
      <w:pPr>
        <w:pStyle w:val="style0"/>
        <w:ind w:firstLine="720"/>
        <w:rPr/>
      </w:pPr>
      <w:r>
        <w:t>Collaboration and partnerships are essential for furthering and integrating the person-centered approach across many sectors. Fostering interdisciplinary collaborations among healthcare professionals, educators, social workers, policymakers, and researchers to share knowledge, best practices, and resources is part of this. Efforts should also be made to promote person-centered care education and training programs in order to educate healthcare personnel and professionals in other professions with the necessary skills and knowledge to effectively adopt this approach (Beck et al., 2021). Advocating for policies and reimbursement models that encourage and support person-centered care can help to ensure its widespread acceptance and long-term viability.</w:t>
      </w:r>
    </w:p>
    <w:p>
      <w:pPr>
        <w:pStyle w:val="style0"/>
        <w:spacing w:lineRule="auto" w:line="259"/>
        <w:jc w:val="left"/>
        <w:rPr/>
      </w:pPr>
      <w:r>
        <w:br w:type="page"/>
      </w:r>
    </w:p>
    <w:p>
      <w:pPr>
        <w:pStyle w:val="style0"/>
        <w:ind w:firstLine="720"/>
        <w:jc w:val="center"/>
        <w:rPr/>
      </w:pPr>
      <w:r>
        <w:t>Conclusion</w:t>
      </w:r>
    </w:p>
    <w:p>
      <w:pPr>
        <w:pStyle w:val="style0"/>
        <w:ind w:firstLine="720"/>
        <w:rPr/>
      </w:pPr>
      <w:r>
        <w:t>In a variety of sectors, the person-centered approach encourages uniqueness, autonomy, and respect, building empowerment, increasing satisfaction, and improving health outcomes. This strategy produces a more personalized and productive environment by recognizing people' unique needs and preferences and fostering collaboration between service providers and recipients. Its continuing adoption and integration, together with technological improvements and a focus on social determinants of health, have the potential to shape the future of person-centered care across several sectors.</w:t>
      </w:r>
    </w:p>
    <w:p>
      <w:pPr>
        <w:pStyle w:val="style0"/>
        <w:rPr/>
      </w:pPr>
    </w:p>
    <w:p>
      <w:pPr>
        <w:pStyle w:val="style0"/>
        <w:spacing w:lineRule="auto" w:line="259"/>
        <w:jc w:val="center"/>
        <w:rPr/>
      </w:pPr>
      <w:r>
        <w:br w:type="page"/>
      </w:r>
      <w:r>
        <w:t>References</w:t>
      </w:r>
    </w:p>
    <w:p>
      <w:pPr>
        <w:pStyle w:val="style0"/>
        <w:spacing w:after="0"/>
        <w:ind w:left="720" w:hanging="720"/>
        <w:rPr/>
      </w:pPr>
      <w:r>
        <w:t xml:space="preserve">Beck, R. S., </w:t>
      </w:r>
      <w:r>
        <w:t>Daughtridge</w:t>
      </w:r>
      <w:r>
        <w:t xml:space="preserve">, R., &amp; Sloane, P. D. (2021). </w:t>
      </w:r>
      <w:r>
        <w:rPr>
          <w:i/>
          <w:iCs/>
        </w:rPr>
        <w:t>Physician-patient communication in the era of mobile phones and social media.</w:t>
      </w:r>
      <w:r>
        <w:t xml:space="preserve"> JAMA, 315(17), 1871-1872.</w:t>
      </w:r>
    </w:p>
    <w:p>
      <w:pPr>
        <w:pStyle w:val="style0"/>
        <w:spacing w:after="0"/>
        <w:ind w:left="720" w:hanging="720"/>
        <w:rPr/>
      </w:pPr>
      <w:r>
        <w:t>Halamka</w:t>
      </w:r>
      <w:r>
        <w:t xml:space="preserve">, J. D., &amp; Tripathi, M. (2020). The HITECH era in retrospect. </w:t>
      </w:r>
      <w:r>
        <w:rPr>
          <w:i/>
          <w:iCs/>
        </w:rPr>
        <w:t>The New England Journal of Medicine</w:t>
      </w:r>
      <w:r>
        <w:t>, 382(5), 389-391.</w:t>
      </w:r>
    </w:p>
    <w:p>
      <w:pPr>
        <w:pStyle w:val="style0"/>
        <w:spacing w:after="0"/>
        <w:ind w:left="720" w:hanging="720"/>
        <w:rPr/>
      </w:pPr>
      <w:r>
        <w:t xml:space="preserve">McCarthy, D., Ryan, J., &amp; Klein, S. (2019). </w:t>
      </w:r>
      <w:r>
        <w:rPr>
          <w:i/>
          <w:iCs/>
        </w:rPr>
        <w:t xml:space="preserve">Models of care for high-need, high-cost patients </w:t>
      </w:r>
      <w:r>
        <w:rPr>
          <w:i/>
          <w:iCs/>
        </w:rPr>
        <w:t>An</w:t>
      </w:r>
      <w:r>
        <w:rPr>
          <w:i/>
          <w:iCs/>
        </w:rPr>
        <w:t xml:space="preserve"> evidence synthesis.</w:t>
      </w:r>
      <w:r>
        <w:t xml:space="preserve"> The Commonwealth Fund.</w:t>
      </w:r>
    </w:p>
    <w:p>
      <w:pPr>
        <w:pStyle w:val="style0"/>
        <w:spacing w:after="0"/>
        <w:ind w:left="720" w:hanging="720"/>
        <w:rPr/>
      </w:pPr>
      <w:r>
        <w:t xml:space="preserve">Parker, R. M., &amp; </w:t>
      </w:r>
      <w:r>
        <w:t>Canan</w:t>
      </w:r>
      <w:r>
        <w:t xml:space="preserve">, A. (2020). </w:t>
      </w:r>
      <w:r>
        <w:rPr>
          <w:i/>
          <w:iCs/>
        </w:rPr>
        <w:t>Risk perceptions, shared decision-making, and patient-provider communication</w:t>
      </w:r>
      <w:r>
        <w:t xml:space="preserve">. In </w:t>
      </w:r>
      <w:r>
        <w:t>The</w:t>
      </w:r>
      <w:r>
        <w:t xml:space="preserve"> Routledge Handbook of Risk Communication (pp. 128-139). Routledge.</w:t>
      </w:r>
    </w:p>
    <w:p>
      <w:pPr>
        <w:pStyle w:val="style0"/>
        <w:spacing w:after="0"/>
        <w:ind w:left="720" w:hanging="720"/>
        <w:rPr/>
      </w:pPr>
      <w:r>
        <w:t xml:space="preserve">Smith, S., Fowler, S., &amp; Darling, J. (2019). </w:t>
      </w:r>
      <w:r>
        <w:rPr>
          <w:i/>
          <w:iCs/>
        </w:rPr>
        <w:t>Person-centered care A foundation for health policy.</w:t>
      </w:r>
      <w:r>
        <w:t xml:space="preserve"> National Academy of Medicine Perspectives.</w:t>
      </w:r>
    </w:p>
    <w:p>
      <w:pPr>
        <w:pStyle w:val="style0"/>
        <w:spacing w:after="0"/>
        <w:ind w:left="720" w:hanging="720"/>
        <w:rPr/>
      </w:pPr>
      <w:r>
        <w:t xml:space="preserve">Srinivasan, M., Franks, P., Meredith, L. S., Frosch, D. L., Graham, G., Epstein, R. M., &amp; Kravitz, R. L. (2021). </w:t>
      </w:r>
      <w:r>
        <w:rPr>
          <w:i/>
          <w:iCs/>
        </w:rPr>
        <w:t xml:space="preserve">Confronting disparities in shared </w:t>
      </w:r>
      <w:r>
        <w:rPr>
          <w:i/>
          <w:iCs/>
        </w:rPr>
        <w:t>decision making</w:t>
      </w:r>
      <w:r>
        <w:rPr>
          <w:i/>
          <w:iCs/>
        </w:rPr>
        <w:t xml:space="preserve"> Lessons from the VA.</w:t>
      </w:r>
      <w:r>
        <w:t xml:space="preserve"> JAMA Network Open, 4(3), e211396.</w:t>
      </w:r>
    </w:p>
    <w:p>
      <w:pPr>
        <w:pStyle w:val="style0"/>
        <w:spacing w:after="0"/>
        <w:ind w:left="720" w:hanging="720"/>
        <w:rPr/>
      </w:pPr>
      <w:r>
        <w:t xml:space="preserve">Taylor, J., Coates, E., Brewster, L., Mountain, G., Wessels, B., Hawley, M., ... &amp; </w:t>
      </w:r>
      <w:r>
        <w:t>Ariss</w:t>
      </w:r>
      <w:r>
        <w:t xml:space="preserve">, S. (2020). Examining the use of telehealth in community nursing identifying the factors affecting frontline staff acceptance and telehealth adoption. </w:t>
      </w:r>
      <w:r>
        <w:rPr>
          <w:i/>
          <w:iCs/>
        </w:rPr>
        <w:t>Journal of Advanced Nursing</w:t>
      </w:r>
      <w:r>
        <w:t>, 76(2), 521-534.</w:t>
      </w: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3"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BDE43BA"/>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1268603E"/>
    <w:lvl w:ilvl="0">
      <w:start w:val="7"/>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15EE91B6"/>
    <w:lvl w:ilvl="0">
      <w:start w:val="6"/>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0E0E705A"/>
    <w:lvl w:ilvl="0">
      <w:start w:val="8"/>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hybridMultilevel"/>
    <w:tmpl w:val="694AB5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lineRule="auto" w:line="360"/>
      <w:jc w:val="both"/>
    </w:pPr>
    <w:rPr>
      <w:rFonts w:ascii="Times New Roman" w:hAnsi="Times New Roman"/>
      <w:sz w:val="24"/>
    </w:r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宋体"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spacing w:after="5" w:lineRule="auto" w:line="249"/>
      <w:ind w:left="720" w:hanging="10"/>
      <w:contextualSpacing/>
    </w:pPr>
    <w:rPr>
      <w:rFonts w:ascii="Calibri" w:cs="Calibri" w:eastAsia="Calibri" w:hAnsi="Calibri"/>
      <w:color w:val="000000"/>
    </w:rPr>
  </w:style>
  <w:style w:type="character" w:customStyle="1" w:styleId="style4097">
    <w:name w:val="Heading 1 Char_60ab6174-a98c-4db4-acaa-21cd762bdd6b"/>
    <w:basedOn w:val="style65"/>
    <w:next w:val="style4097"/>
    <w:link w:val="style1"/>
    <w:uiPriority w:val="9"/>
    <w:rPr>
      <w:rFonts w:ascii="Calibri Light" w:cs="宋体" w:eastAsia="宋体" w:hAnsi="Calibri Light"/>
      <w:color w:val="2f5496"/>
      <w:sz w:val="32"/>
      <w:szCs w:val="32"/>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Words>1174</Words>
  <Pages>6</Pages>
  <Characters>7596</Characters>
  <Application>WPS Office</Application>
  <DocSecurity>0</DocSecurity>
  <Paragraphs>55</Paragraphs>
  <ScaleCrop>false</ScaleCrop>
  <LinksUpToDate>false</LinksUpToDate>
  <CharactersWithSpaces>8739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2023-06-03T11:50:00Z</dcterms:created>
  <dc:creator>Admin</dc:creator>
  <lastModifiedBy>LDN-L21</lastModifiedBy>
  <dcterms:modified xsi:type="dcterms:W3CDTF">2023-06-03T19:23:57Z</dcterms:modified>
  <revision>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1407dcb6fe3c45aa9a764e53f3326a95</vt:lpwstr>
  </property>
</Properties>
</file>