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25252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25252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25252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252525"/>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52525"/>
          <w:sz w:val="24"/>
          <w:szCs w:val="24"/>
          <w:u w:val="none"/>
          <w:shd w:fill="auto" w:val="clear"/>
          <w:vertAlign w:val="baseline"/>
          <w:rtl w:val="0"/>
        </w:rPr>
        <w:t xml:space="preserve">Trends and Issues in Educational Leadership</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25252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52525"/>
          <w:sz w:val="24"/>
          <w:szCs w:val="24"/>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25252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25252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25252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25252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52525"/>
          <w:sz w:val="24"/>
          <w:szCs w:val="24"/>
          <w:u w:val="none"/>
          <w:shd w:fill="auto" w:val="clear"/>
          <w:vertAlign w:val="baseline"/>
          <w:rtl w:val="0"/>
        </w:rPr>
        <w:t xml:space="preserve">Name of the Author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25252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52525"/>
          <w:sz w:val="24"/>
          <w:szCs w:val="24"/>
          <w:u w:val="none"/>
          <w:shd w:fill="auto" w:val="clear"/>
          <w:vertAlign w:val="baseline"/>
          <w:rtl w:val="0"/>
        </w:rPr>
        <w:t xml:space="preserve">Institution Affiliation</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25252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52525"/>
          <w:sz w:val="24"/>
          <w:szCs w:val="24"/>
          <w:u w:val="none"/>
          <w:shd w:fill="auto" w:val="clear"/>
          <w:vertAlign w:val="baseline"/>
          <w:rtl w:val="0"/>
        </w:rPr>
        <w:t xml:space="preserve"> Course Instructor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25252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52525"/>
          <w:sz w:val="24"/>
          <w:szCs w:val="24"/>
          <w:u w:val="none"/>
          <w:shd w:fill="auto" w:val="clear"/>
          <w:vertAlign w:val="baseline"/>
          <w:rtl w:val="0"/>
        </w:rPr>
        <w:t xml:space="preserve">Due Date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25252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25252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25252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25252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25252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25252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25252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25252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25252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25252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25252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25252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color w:val="252525"/>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252525"/>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52525"/>
          <w:sz w:val="24"/>
          <w:szCs w:val="24"/>
          <w:u w:val="none"/>
          <w:shd w:fill="auto" w:val="clear"/>
          <w:vertAlign w:val="baseline"/>
          <w:rtl w:val="0"/>
        </w:rPr>
        <w:t xml:space="preserve">Trends and Issues in Educational Leadership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Times New Roman" w:cs="Times New Roman" w:eastAsia="Times New Roman" w:hAnsi="Times New Roman"/>
          <w:b w:val="0"/>
          <w:i w:val="0"/>
          <w:smallCaps w:val="0"/>
          <w:strike w:val="0"/>
          <w:color w:val="25252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52525"/>
          <w:sz w:val="24"/>
          <w:szCs w:val="24"/>
          <w:u w:val="none"/>
          <w:shd w:fill="auto" w:val="clear"/>
          <w:vertAlign w:val="baseline"/>
          <w:rtl w:val="0"/>
        </w:rPr>
        <w:t xml:space="preserve">Educational leadership stands at the point of transformation, together with continuity in the learning resource center, though there are challenges and opportunities that the Ministry of Education must face. Administrators in the educational ministry, ranging from the school principal to the district administration, must mend and shape the educational experience of the students and the trajectory of the community. Educational leadership is traversing uncharted territory in this era of technological advancement, information proliferation, and cultural diversity. The occurrence of digital tools, the desire for global competency, the need for diversity, and the need for data-driven insights, together with the development of pedagogical techniques, all help to generate the backdrop on which educational leaders must draw their ideologies. At the same time, perennial issues including shortages of teachers, financial restrictions, the essentiality of standardized testing, mental health issues, and the intricate nature of policies continue to necessitate careful navigation. As I move through these traits, it becomes clear that the job of an educational leader in the current era of fast change and constant adaptation is more complex, important, and demanding than it has ever been.</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Times New Roman" w:cs="Times New Roman" w:eastAsia="Times New Roman" w:hAnsi="Times New Roman"/>
          <w:b w:val="0"/>
          <w:i w:val="0"/>
          <w:smallCaps w:val="0"/>
          <w:strike w:val="0"/>
          <w:color w:val="25252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52525"/>
          <w:sz w:val="24"/>
          <w:szCs w:val="24"/>
          <w:u w:val="none"/>
          <w:shd w:fill="auto" w:val="clear"/>
          <w:vertAlign w:val="baseline"/>
          <w:rtl w:val="0"/>
        </w:rPr>
        <w:t xml:space="preserve">The Ministry of Education recognizes technology as a catalyst for student empowerment. Customization of the learning platforms, digital resources, and online collaboration tools provides learners with agency over their education. This trend promotes active engagement, self-directed learning, and critical thinking skills as students navigate digital content and contribute to their learning journeys (Bereczki &amp; Kárpáti, 2021). Moreover, online platforms, digital assessments, and virtual classrooms are shaping the mode of learning, thus enabling technology implementation, an important trend for most leaders to navigate effectively. Technology integration is an intricate phenomenon that requires apprehension of teachers' influence and attitudes, together with mindsets towards learning and technology. However, by using technology, teachers may adapt their lessons to the needs of each student. Platforms for adaptive learning examine student performance data to generate essential information that fits each student's speed and learning preferences. To ensure that personalized learning keeps its emphasis on attaining educational aims, the Ministry of Education must provide instructors with the guidance they need to use these tools effectively. To ensure that technology remains a potent tool for enriching education and preparing students for a dynamic future, educational leaders will continue to play a crucial role in determining how it is integrated.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Times New Roman" w:cs="Times New Roman" w:eastAsia="Times New Roman" w:hAnsi="Times New Roman"/>
          <w:b w:val="0"/>
          <w:i w:val="0"/>
          <w:smallCaps w:val="0"/>
          <w:strike w:val="0"/>
          <w:color w:val="25252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52525"/>
          <w:sz w:val="24"/>
          <w:szCs w:val="24"/>
          <w:u w:val="none"/>
          <w:shd w:fill="auto" w:val="clear"/>
          <w:vertAlign w:val="baseline"/>
          <w:rtl w:val="0"/>
        </w:rPr>
        <w:t xml:space="preserve">In the days of global interdependence and cultural diversity, the need for global competence and citizenship has emerged as a key trend in educational leadership. A more open and inclusive world can be bolstered through education, according to international organizations and non-governmental organizations (NGOs), and some governments, along with becoming global citizens, have the appearance of achieving the Sustainable Development Goal (Robertson, S. L., 2021). Educational institutions, under the guidance of visionary leaders, are aimed at equipping students with the skills, perspectives, and knowledge to maneuver a complex and interconnected world. This issue comprises promoting intercultural understanding, improving language skills, fostering critical inquiry into global challenges, and developing empathy and perspective-taking. Educational leaders play a crucial role in creating curricula that go beyond borders, encouraging responsible digital citizenship in a global context, and addressing challenges such as standardized testing pressures and cultural biases. By championing the development of global citizens with the ability to engage with diverse cultures, collaborate across boundaries, and analyze global issues critically, these leaders shape a future where students are not only academically successful but also prepared to thrive in an ever-evolving global landscape.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Times New Roman" w:cs="Times New Roman" w:eastAsia="Times New Roman" w:hAnsi="Times New Roman"/>
          <w:b w:val="0"/>
          <w:i w:val="0"/>
          <w:smallCaps w:val="0"/>
          <w:strike w:val="0"/>
          <w:color w:val="25252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52525"/>
          <w:sz w:val="24"/>
          <w:szCs w:val="24"/>
          <w:u w:val="none"/>
          <w:shd w:fill="auto" w:val="clear"/>
          <w:vertAlign w:val="baseline"/>
          <w:rtl w:val="0"/>
        </w:rPr>
        <w:t xml:space="preserve">Educational funding stands as a cornerstone of educational leadership, encompassing the critical aspects of resource allocation, equity, and the pursuit of quality education. The significance of adequate funding is undeniable, supporting essential components from teacher salaries to technological infrastructure. Educational leaders are challenged with the task of uniformly distributing resources and ensuring that all students, regardless of their background, have access to a comprehensive and advanced learning climate. Moreover, dropout is the most obvious symptom of academic failure, which is accelerated by the absence of inclusion and fairness; moderately, 20% of young individuals leave school before finishing up their upper secondary education (OECD, 2012). Striking a balance between budget management and prioritization requires skilled decision-making to allocate resources effectively while adapting to shifting external factors such as unforeseen crises and economic fluctuations. Advocacy has become a pivotal role for educational leaders, as they must champion increased funding from various sources while promoting the essential link between educational investment and societal advancement. Exploring innovative funding approaches and planning for long-term sustainability further demonstrate the strategic prowess of educational leaders in securing the foundation for educational excellence and future progress.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Times New Roman" w:cs="Times New Roman" w:eastAsia="Times New Roman" w:hAnsi="Times New Roman"/>
          <w:b w:val="0"/>
          <w:i w:val="0"/>
          <w:smallCaps w:val="0"/>
          <w:strike w:val="0"/>
          <w:color w:val="25252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52525"/>
          <w:sz w:val="24"/>
          <w:szCs w:val="24"/>
          <w:u w:val="none"/>
          <w:shd w:fill="auto" w:val="clear"/>
          <w:vertAlign w:val="baseline"/>
          <w:rtl w:val="0"/>
        </w:rPr>
        <w:t xml:space="preserve">Policy changes and regulations have many profound aspects that have an impact on educational leaders, dramatically changing the environment in which they operate. These alterations, whether driven by governmental mandates or institutional strategies, necessitate a continual re-calibration of leadership approaches. Educational leaders are confronted with the intricate task of deciphering the nuanced implications of new policies, which can encompass a spectrum of adjustments, such as curriculum refinements, revised assessment methodologies, budget distribution, and enhanced diversity and inclusion mandates. Adapting to these changes requires keen foresight, proactive stakeholder engagement, and a strategic alignment of institutional objectives with the evolving policy framework. In this intricate interplay, educational leaders shoulder the responsibility of not only interpreting and executing policies but also mitigating potential conflicts and utilizing opportunities that arise from the ever-shifting policy currents (Brill, 2019).</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Times New Roman" w:cs="Times New Roman" w:eastAsia="Times New Roman" w:hAnsi="Times New Roman"/>
          <w:b w:val="0"/>
          <w:i w:val="0"/>
          <w:smallCaps w:val="0"/>
          <w:strike w:val="0"/>
          <w:color w:val="25252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52525"/>
          <w:sz w:val="24"/>
          <w:szCs w:val="24"/>
          <w:u w:val="none"/>
          <w:shd w:fill="auto" w:val="clear"/>
          <w:vertAlign w:val="baseline"/>
          <w:rtl w:val="0"/>
        </w:rPr>
        <w:t xml:space="preserve">The collection of technology integration, legislative changes and regulations, global competency and citizenship, and educational funding in the constantly changing context of education highlights the variety of opportunities and difficulties that educational leaders go through. Teaching and learning are transformed by the seamless integration of technology, but it also calls for skilled leadership to guide its deployment while preserving the best teaching methods. Visionary leaders who prepare students for an interconnected world are needed to promote the growth of global competency and citizenship, and managing regulatory shifts and regulations requires strategic thinking to keep institutions flexible and in line with educational objectives. Additionally, resolving the complex issue of educational funding demands skillful resource distribution while promoting universal access to high-quality education. These features collectively represent the dynamic, complex role that educational leadership plays in creating a future and ensuring that educational institutions continue to be inclusive, resilient, and forward-looking while guaranteeing that students have the knowledge, abilities, and values necessary to flourish in a complex global society.</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Times New Roman" w:cs="Times New Roman" w:eastAsia="Times New Roman" w:hAnsi="Times New Roman"/>
          <w:b w:val="0"/>
          <w:i w:val="0"/>
          <w:smallCaps w:val="0"/>
          <w:strike w:val="0"/>
          <w:color w:val="25252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color w:val="252525"/>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color w:val="252525"/>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252525"/>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52525"/>
          <w:sz w:val="24"/>
          <w:szCs w:val="24"/>
          <w:u w:val="none"/>
          <w:shd w:fill="auto" w:val="clear"/>
          <w:vertAlign w:val="baseline"/>
          <w:rtl w:val="0"/>
        </w:rPr>
        <w:t xml:space="preserve">Reference</w:t>
      </w:r>
      <w:r w:rsidDel="00000000" w:rsidR="00000000" w:rsidRPr="00000000">
        <w:rPr>
          <w:rFonts w:ascii="Times New Roman" w:cs="Times New Roman" w:eastAsia="Times New Roman" w:hAnsi="Times New Roman"/>
          <w:b w:val="0"/>
          <w:i w:val="0"/>
          <w:smallCaps w:val="0"/>
          <w:strike w:val="0"/>
          <w:color w:val="252525"/>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25252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52525"/>
          <w:sz w:val="24"/>
          <w:szCs w:val="24"/>
          <w:u w:val="none"/>
          <w:shd w:fill="auto" w:val="clear"/>
          <w:vertAlign w:val="baseline"/>
          <w:rtl w:val="0"/>
        </w:rPr>
        <w:t xml:space="preserve">Bereczki, E. O., &amp; Kárpáti, A. (2021). Technology-enhanced creativity: a multiple case study of digital technology-integration expert teachers’ beliefs and practices Thinking Skills and Creativity, 39, 100791.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25252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52525"/>
          <w:sz w:val="24"/>
          <w:szCs w:val="24"/>
          <w:u w:val="none"/>
          <w:shd w:fill="auto" w:val="clear"/>
          <w:vertAlign w:val="baseline"/>
          <w:rtl w:val="0"/>
        </w:rPr>
        <w:t xml:space="preserve">Robertson, S. L. (2021). Provincializing the OECD-PISA global competencies project Globalization, Societies, and Education, 19(2), 167–182.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25252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52525"/>
          <w:sz w:val="24"/>
          <w:szCs w:val="24"/>
          <w:u w:val="none"/>
          <w:shd w:fill="auto" w:val="clear"/>
          <w:vertAlign w:val="baseline"/>
          <w:rtl w:val="0"/>
        </w:rPr>
        <w:t xml:space="preserve">OECD (2012), Equity and Quality in Education: Supporting Disadvantaged Students and Schools, OECD Publishing. </w:t>
      </w:r>
      <w:hyperlink r:id="rId6">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https://www.oecd.org/education/school/50293148.pdf</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25252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52525"/>
          <w:sz w:val="24"/>
          <w:szCs w:val="24"/>
          <w:u w:val="none"/>
          <w:shd w:fill="auto" w:val="clear"/>
          <w:vertAlign w:val="baseline"/>
          <w:rtl w:val="0"/>
        </w:rPr>
        <w:t xml:space="preserve">Brill. (2019, May 28). Chapter 7: Educational Policy and leadership to improve democratic citizenship education </w:t>
      </w:r>
      <w:hyperlink r:id="rId7">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https://brill.com/display/book/edcoll/9789004411944/BP000014.xml?language=en</w:t>
        </w:r>
      </w:hyperlink>
      <w:r w:rsidDel="00000000" w:rsidR="00000000" w:rsidRPr="00000000">
        <w:rPr>
          <w:rtl w:val="0"/>
        </w:rPr>
      </w:r>
    </w:p>
    <w:sectPr>
      <w:head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225" w:before="225" w:line="240"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255" w:before="255"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255" w:before="255" w:line="240" w:lineRule="auto"/>
      <w:ind w:left="0" w:right="0" w:firstLine="0"/>
      <w:jc w:val="left"/>
    </w:pPr>
    <w:rPr>
      <w:rFonts w:ascii="Arial" w:cs="Arial" w:eastAsia="Arial" w:hAnsi="Arial"/>
      <w:b w:val="1"/>
      <w:i w:val="0"/>
      <w:smallCaps w:val="0"/>
      <w:strike w:val="0"/>
      <w:color w:val="000000"/>
      <w:sz w:val="18"/>
      <w:szCs w:val="18"/>
      <w:u w:val="none"/>
      <w:shd w:fill="auto" w:val="clear"/>
      <w:vertAlign w:val="baseline"/>
    </w:rPr>
  </w:style>
  <w:style w:type="paragraph" w:styleId="Heading6">
    <w:name w:val="heading 6"/>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360" w:before="360" w:line="240" w:lineRule="auto"/>
      <w:ind w:left="0" w:right="0" w:firstLine="0"/>
      <w:jc w:val="left"/>
    </w:pPr>
    <w:rPr>
      <w:rFonts w:ascii="Arial" w:cs="Arial" w:eastAsia="Arial" w:hAnsi="Arial"/>
      <w:b w:val="1"/>
      <w:i w:val="0"/>
      <w:smallCaps w:val="0"/>
      <w:strike w:val="0"/>
      <w:color w:val="000000"/>
      <w:sz w:val="16"/>
      <w:szCs w:val="16"/>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oecd.org/education/school/50293148.pdf" TargetMode="External"/><Relationship Id="rId7" Type="http://schemas.openxmlformats.org/officeDocument/2006/relationships/hyperlink" Target="https://brill.com/display/book/edcoll/9789004411944/BP000014.xml?language=en"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