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of Youths in shaping the world</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Author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Affiliation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Instructor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Date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before="24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before="240" w:line="48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Youth in Shaping the World</w:t>
      </w:r>
    </w:p>
    <w:p w:rsidR="00000000" w:rsidDel="00000000" w:rsidP="00000000" w:rsidRDefault="00000000" w:rsidRPr="00000000" w14:paraId="00000010">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intricate tapestry of human progress, the pivotal role of youth stands illuminated as an undeniably potent force of transformation. Their capacity to translate knowledge into action, digital proficiency, determination to confront climate change, and active engagement in political arenas collectively underscore their transformative impact on a global scale. In this era of digital interdependence, where physical boundaries yield to the reach of digital connectivity, today's youth emerge as architects of change, reshaping societies, policies, and narratives across domains. This dynamic and interconnected landscape necessitates an exploration of their multifaceted influence — from their embrace of education's potential to their role as digital citizens, climate change catalysts, and political trailblazers. As the pages of history unfold, it becomes evident that the youth, empowered by education, technology, and a shared vision, have transcended conventional limitations to shape a world defined by unity, innovation, and positive transformation.</w:t>
      </w:r>
    </w:p>
    <w:p w:rsidR="00000000" w:rsidDel="00000000" w:rsidP="00000000" w:rsidRDefault="00000000" w:rsidRPr="00000000" w14:paraId="00000011">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Enhanced education empowers youth to play a pivotal role in propelling global transformation. They skillfully translate knowledge into actionable change, embodying the architects of progress. As recipients of education's empowering embrace, they are endowed not only with skills and wisdom but also with a profound understanding of their capacity to steer societies toward innovation, inclusion, and equilibrium. Education opens doors to diverse opportunities, allowing youth to unlock their potential and shape their paths. Empowered by education, they become torchbearers of social justice, driving movements against inequality and advocating for the voiceless. Nurtured by education's role in fostering critical thinking, they possess inquisitive minds that challenge norms and devise creative solutions. Youth harness technology to bridge gaps and transcend borders, fostering a global community connected by ideas and aspirations. Armed with a sense of responsibility cultivated through education, they embrace sustainability, guiding the world toward a greener future. Education imparts not just knowledge but also empathy, guiding youth to value diversity and embrace collaboration. As architects of the future, they have the agency to dismantle barriers, pioneer progress, and forge a world defined by unity and positive change (Idris et al. 444).</w:t>
      </w:r>
    </w:p>
    <w:p w:rsidR="00000000" w:rsidDel="00000000" w:rsidP="00000000" w:rsidRDefault="00000000" w:rsidRPr="00000000" w14:paraId="00000012">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digital citizenship has emerged as a pivotal and intricately connected topic within the discourse on the transformative potential of youth in shaping our contemporary world. Digital citizenship encompasses vital skills essential for navigating and actively participating in our technologically driven society. For today's youth, the seamless integration of digital technologies into their daily routines has redefined their interactions, whether in socializing, communicating, playing, or learning. The pervasive influence of digital technologies has widened the horizon of youth participation, enabling them to contribute through avenues such as video remixes and memes, fostering creativity and cross-cultural exchanges. A coalition of stakeholders, including governmental entities, academia, non-governmental organizations, and global organizations, has united under the banner of digital citizenship, orchestrating educational initiatives that empower youth to harness the digital realm's potential while addressing its challenges. This normative approach aims to cultivate responsible digital behavior, instilling values that transcend online spaces. Another facet of digital citizenship scrutinizes how today's youth, propelled by digital tools and responding to socio-economic shifts, are reshaping their engagement with civic and political realms, effectively redefining conventional notions of citizenship. Thus, the evolution of digital citizenship stands as a testament to the youth's ability to embrace and influence the digital world's dynamics, showcasing their instrumental role in molding our global landscape toward progress, inclusion, and innovative change (Cortesi et al.).</w:t>
      </w:r>
    </w:p>
    <w:p w:rsidR="00000000" w:rsidDel="00000000" w:rsidP="00000000" w:rsidRDefault="00000000" w:rsidRPr="00000000" w14:paraId="00000013">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urgency of addressing climate change has fostered a global alliance among diverse stakeholders, including governments, NGOs, and the private sector, who have jointly committed to combating its profound impacts. This collaborative endeavor has witnessed the emergence of non-state entities like citizens, NGOs, and the private sector as influential partners, working alongside governmental and intergovernmental initiatives to confront climate change's challenges on local and international scales. This multifaceted approach underscores the collective understanding that effective action demands the integration of varied expertise and resources. Noteworthy in this endeavor is the ascent of youth-led organizations, officially acknowledged by the UNFCCC, which grants them a platform to contribute to intergovernmental climate discussions. This recognition underscores the pivotal role of youth in propelling the global climate agenda forward. The susceptibility of youth to climate change's repercussions, paradoxically positions them as potential catalysts for positive transformation, fueled by their demographic strength and heightened environmental consciousness. Bolstered by an expanding social awareness, youth possess the potential to instigate pivotal shifts toward sustainable, low-carbon societies. Consequently, the engagement of youth organizations within climate discourse is not solely a response to their vulnerability but a strategic acknowledgment of their capability to steer our global trajectory toward a future resilient to climate impacts and environmentally responsible practices (Han 4127).</w:t>
      </w:r>
    </w:p>
    <w:p w:rsidR="00000000" w:rsidDel="00000000" w:rsidP="00000000" w:rsidRDefault="00000000" w:rsidRPr="00000000" w14:paraId="00000014">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dynamic tapestry of societal evolution, the transformative power of youth takes center stage as they dynamically engage in the political arena, challenging long-held conventions and catalyzing profound change. Young leaders, with their impassioned voices and innovative perspectives, are upending the assertion that politics is exclusive to seasoned individuals, reshaping perceptions. Globally, youth exhibit an unwavering belief in their potential to effect change, stepping into the political realm with determination, infusing democracies with renewed vigor, and charting new courses for nations. Notably, luminaries like Alexandria Ocasio-Cortez exemplify the tenacity and vision inherent in the younger generation, spotlighting the potency of youth-driven political activism (Nash). Moreover, youth-led campaigns and grassroots initiatives wield substantial influence, reshaping political landscapes by challenging norms and redefining conversations across realms like social justice, climate change, human rights, and equality. Employing digital tools with finesse, young political activists utilize social media and technology to amplify their voices, mobilize supporters, and bridge generational divides. This active dismantling of conventions signifies a transformative shift from passive observers to engaged participants, invigorating the essence of democracy. This purposeful involvement breathes new life into democratic processes, ensuring global political narratives are woven with the authentic aspirations and viewpoints of the emergent generation, thus underscoring their indispensable role in shaping the world's trajectory.</w:t>
      </w:r>
    </w:p>
    <w:p w:rsidR="00000000" w:rsidDel="00000000" w:rsidP="00000000" w:rsidRDefault="00000000" w:rsidRPr="00000000" w14:paraId="00000015">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era marked by digital interdependence, the profound impact of youth on shaping the world surpasses physical boundaries, propelled by the boundless potential of global connectivity. The dawn of the digital age has granted young individuals unprecedented access to information, resources, and collaborative platforms that transcend geographical confines. As technological bridges span continents, initiatives spearheaded by youth have emerged as potent catalysts for change, instigating transformations with worldwide repercussions. Unified by a collective purpose and armed with digital tools, young change-makers seamlessly coordinate their efforts across diverse cultures and languages to address issues of universal significance. Whether it pertains to combating climate change, advocating for human rights, or addressing public health crises, the resonance of youth-driven movements resonates globally, surmounting political and cultural divides. In this era of elevated global collaboration, youth channel their combined energy to co-create solutions that intricately mirror the fabric of our interconnected world. By amalgamating their diverse perspectives and leveraging their collective strength, today's youth not only shape policies but also lay the foundation for a future devoid of borders, marked by harmony. Amid this transformative landscape, their shared ideals transcend continents, sparking inspiration and cultivating a vision of a world characterized by unity and shared aspirations (Stromquist).</w:t>
      </w:r>
    </w:p>
    <w:p w:rsidR="00000000" w:rsidDel="00000000" w:rsidP="00000000" w:rsidRDefault="00000000" w:rsidRPr="00000000" w14:paraId="00000016">
      <w:pPr>
        <w:spacing w:before="24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grand symphony of human endeavor, the resounding notes of youth-led change reverberate across continents and echo through time. From the classrooms of education to the boundless expanses of the digital realm, from the urgent frontline of climate action to the corridors of political influence, today's youth wield a transformative power that knows no bounds. Their actions illuminate a world where knowledge begets action, connectivity fosters collaboration, and responsibility drives sustainable progress. As the curtain rises on a new era, the role of youth as global architects of change remains undisputed, and their endeavors stand as a testament to the unwavering belief in a future defined by unity, equity, and shared aspirations. In the ceaseless march towards a better world, the youth's symphony of innovation, connectivity, and advocacy resounds, shaping the destiny of our global society.</w:t>
      </w:r>
    </w:p>
    <w:p w:rsidR="00000000" w:rsidDel="00000000" w:rsidP="00000000" w:rsidRDefault="00000000" w:rsidRPr="00000000" w14:paraId="00000017">
      <w:pPr>
        <w:spacing w:before="24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before="24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before="24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before="24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before="24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before="24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before="240"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6">
      <w:pPr>
        <w:spacing w:before="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Cortesi, Sandra, Alexa Hasse, Andres Lombana-Bermudez, Sonia Kim, and Urs Gasser. "Youth and Digital Citizenship+ (Plus): Understanding Skills for a Digital World." Youth and Media, Berkman Klein Center for Internet &amp; Society, 2020. Web. [Day Mon. Year].</w:t>
      </w:r>
    </w:p>
    <w:p w:rsidR="00000000" w:rsidDel="00000000" w:rsidP="00000000" w:rsidRDefault="00000000" w:rsidRPr="00000000" w14:paraId="00000027">
      <w:pPr>
        <w:spacing w:before="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Heejin, and Sang Wuk Ahn. "Youth mobilization to stop global climate change: Narratives and impact." Sustainability 12.10 (2020): 4127.</w:t>
      </w:r>
    </w:p>
    <w:p w:rsidR="00000000" w:rsidDel="00000000" w:rsidP="00000000" w:rsidRDefault="00000000" w:rsidRPr="00000000" w14:paraId="00000028">
      <w:pPr>
        <w:spacing w:before="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Idris, Fazilah, et al. "The role of education in shaping youth's national identity." Procedia-Social and Behavioral Sciences 59 (2012): 443-450.</w:t>
      </w:r>
    </w:p>
    <w:p w:rsidR="00000000" w:rsidDel="00000000" w:rsidP="00000000" w:rsidRDefault="00000000" w:rsidRPr="00000000" w14:paraId="00000029">
      <w:pPr>
        <w:spacing w:before="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Nash, Peggy. "Alexandria Ocasio-Cortez is Shaking Up Old Politics with Her New Style." The Conversation,22May2019,theconversation.com/alexandria-ocasio-cortez-is-shaking-up-old-politics-with-her-new-style-116948.</w:t>
      </w:r>
    </w:p>
    <w:p w:rsidR="00000000" w:rsidDel="00000000" w:rsidP="00000000" w:rsidRDefault="00000000" w:rsidRPr="00000000" w14:paraId="0000002A">
      <w:pPr>
        <w:spacing w:before="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Stromquist, Nelly P. Education in a globalized world: The connectivity of economic power, technology, and knowledge. Rowman &amp; Littlefield, 2002.</w:t>
      </w:r>
    </w:p>
    <w:p w:rsidR="00000000" w:rsidDel="00000000" w:rsidP="00000000" w:rsidRDefault="00000000" w:rsidRPr="00000000" w14:paraId="0000002B">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936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