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pPr>
        <w:pStyle w:val="LO-normal"/>
        <w:spacing w:before="0" w:after="240" w:line="480" w:lineRule="auto"/>
        <w:jc w:val="center"/>
        <w:rPr>
          <w:rFonts w:ascii="Times New Roman" w:eastAsia="Times New Roman" w:hAnsi="Times New Roman" w:cs="Times New Roman"/>
          <w:b/>
          <w:color w:val="252525"/>
          <w:sz w:val="24"/>
          <w:szCs w:val="24"/>
        </w:rPr>
      </w:pPr>
      <w:r>
        <w:rPr>
          <w:rFonts w:ascii="Times New Roman" w:eastAsia="Times New Roman" w:hAnsi="Times New Roman" w:cs="Times New Roman"/>
          <w:b/>
          <w:color w:val="252525"/>
          <w:sz w:val="24"/>
          <w:szCs w:val="24"/>
        </w:rPr>
        <w:t>Trends and Issues in Educational Leadership</w:t>
      </w:r>
    </w:p>
    <w:p>
      <w:pPr>
        <w:pStyle w:val="LO-normal"/>
        <w:spacing w:before="240" w:after="240" w:line="480" w:lineRule="auto"/>
        <w:jc w:val="center"/>
        <w:rPr>
          <w:rFonts w:ascii="Times New Roman" w:eastAsia="Times New Roman" w:hAnsi="Times New Roman" w:cs="Times New Roman"/>
          <w:color w:val="252525"/>
          <w:sz w:val="24"/>
          <w:szCs w:val="24"/>
        </w:rPr>
      </w:pPr>
    </w:p>
    <w:p>
      <w:pPr>
        <w:pStyle w:val="LO-normal"/>
        <w:spacing w:before="240" w:after="240" w:line="480" w:lineRule="auto"/>
        <w:jc w:val="center"/>
        <w:rPr>
          <w:rFonts w:ascii="Times New Roman" w:eastAsia="Times New Roman" w:hAnsi="Times New Roman" w:cs="Times New Roman"/>
          <w:color w:val="252525"/>
          <w:sz w:val="24"/>
          <w:szCs w:val="24"/>
        </w:rPr>
      </w:pPr>
    </w:p>
    <w:p>
      <w:pPr>
        <w:pStyle w:val="LO-normal"/>
        <w:spacing w:before="240" w:after="240" w:line="480" w:lineRule="auto"/>
        <w:jc w:val="center"/>
        <w:rPr>
          <w:rFonts w:ascii="Times New Roman" w:eastAsia="Times New Roman" w:hAnsi="Times New Roman" w:cs="Times New Roman"/>
          <w:color w:val="252525"/>
          <w:sz w:val="24"/>
          <w:szCs w:val="24"/>
        </w:rPr>
      </w:pPr>
    </w:p>
    <w:p>
      <w:pPr>
        <w:pStyle w:val="LO-normal"/>
        <w:spacing w:before="240" w:after="240" w:line="480" w:lineRule="auto"/>
        <w:jc w:val="center"/>
        <w:rPr>
          <w:rFonts w:ascii="Times New Roman" w:eastAsia="Times New Roman" w:hAnsi="Times New Roman" w:cs="Times New Roman"/>
          <w:color w:val="252525"/>
          <w:sz w:val="24"/>
          <w:szCs w:val="24"/>
        </w:rPr>
      </w:pPr>
    </w:p>
    <w:p>
      <w:pPr>
        <w:pStyle w:val="LO-normal"/>
        <w:spacing w:before="240" w:after="240" w:line="480" w:lineRule="auto"/>
        <w:jc w:val="center"/>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Name of the Author</w:t>
      </w:r>
    </w:p>
    <w:p>
      <w:pPr>
        <w:pStyle w:val="LO-normal"/>
        <w:spacing w:before="240" w:after="240" w:line="480" w:lineRule="auto"/>
        <w:jc w:val="center"/>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Institution Affiliation</w:t>
      </w:r>
    </w:p>
    <w:p>
      <w:pPr>
        <w:pStyle w:val="LO-normal"/>
        <w:spacing w:before="240" w:after="240" w:line="480" w:lineRule="auto"/>
        <w:jc w:val="center"/>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Course Instructor</w:t>
      </w:r>
    </w:p>
    <w:p>
      <w:pPr>
        <w:pStyle w:val="LO-normal"/>
        <w:spacing w:before="240" w:after="240" w:line="480" w:lineRule="auto"/>
        <w:jc w:val="center"/>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Due Date</w:t>
      </w:r>
    </w:p>
    <w:p>
      <w:pPr>
        <w:pStyle w:val="LO-normal"/>
        <w:spacing w:before="240" w:after="240" w:line="480" w:lineRule="auto"/>
        <w:rPr>
          <w:rFonts w:ascii="Times New Roman" w:eastAsia="Times New Roman" w:hAnsi="Times New Roman" w:cs="Times New Roman"/>
          <w:color w:val="252525"/>
          <w:sz w:val="24"/>
          <w:szCs w:val="24"/>
        </w:rPr>
      </w:pPr>
    </w:p>
    <w:p>
      <w:pPr>
        <w:pStyle w:val="LO-normal"/>
        <w:spacing w:before="240" w:after="240" w:line="480" w:lineRule="auto"/>
        <w:rPr>
          <w:rFonts w:ascii="Times New Roman" w:eastAsia="Times New Roman" w:hAnsi="Times New Roman" w:cs="Times New Roman"/>
          <w:color w:val="252525"/>
          <w:sz w:val="24"/>
          <w:szCs w:val="24"/>
        </w:rPr>
      </w:pPr>
    </w:p>
    <w:p>
      <w:pPr>
        <w:pStyle w:val="LO-normal"/>
        <w:spacing w:before="240" w:after="240" w:line="480" w:lineRule="auto"/>
        <w:rPr>
          <w:rFonts w:ascii="Times New Roman" w:eastAsia="Times New Roman" w:hAnsi="Times New Roman" w:cs="Times New Roman"/>
          <w:color w:val="252525"/>
          <w:sz w:val="24"/>
          <w:szCs w:val="24"/>
        </w:rPr>
      </w:pPr>
    </w:p>
    <w:p>
      <w:pPr>
        <w:pStyle w:val="LO-normal"/>
        <w:spacing w:before="240" w:after="240" w:line="480" w:lineRule="auto"/>
        <w:rPr>
          <w:rFonts w:ascii="Times New Roman" w:eastAsia="Times New Roman" w:hAnsi="Times New Roman" w:cs="Times New Roman"/>
          <w:color w:val="252525"/>
          <w:sz w:val="24"/>
          <w:szCs w:val="24"/>
        </w:rPr>
      </w:pPr>
    </w:p>
    <w:p>
      <w:pPr>
        <w:pStyle w:val="LO-normal"/>
        <w:spacing w:before="240" w:after="240" w:line="480" w:lineRule="auto"/>
        <w:rPr>
          <w:rFonts w:ascii="Times New Roman" w:eastAsia="Times New Roman" w:hAnsi="Times New Roman" w:cs="Times New Roman"/>
          <w:color w:val="252525"/>
          <w:sz w:val="24"/>
          <w:szCs w:val="24"/>
        </w:rPr>
      </w:pPr>
    </w:p>
    <w:p>
      <w:pPr>
        <w:pStyle w:val="LO-normal"/>
        <w:spacing w:before="240" w:after="240" w:line="480" w:lineRule="auto"/>
        <w:rPr>
          <w:rFonts w:ascii="Times New Roman" w:eastAsia="Times New Roman" w:hAnsi="Times New Roman" w:cs="Times New Roman"/>
          <w:color w:val="252525"/>
          <w:sz w:val="24"/>
          <w:szCs w:val="24"/>
        </w:rPr>
      </w:pPr>
    </w:p>
    <w:p>
      <w:pPr>
        <w:pStyle w:val="LO-normal"/>
        <w:spacing w:before="240" w:after="240" w:line="480" w:lineRule="auto"/>
        <w:rPr>
          <w:rFonts w:ascii="Times New Roman" w:eastAsia="Times New Roman" w:hAnsi="Times New Roman" w:cs="Times New Roman"/>
          <w:color w:val="252525"/>
          <w:sz w:val="24"/>
          <w:szCs w:val="24"/>
        </w:rPr>
      </w:pPr>
    </w:p>
    <w:p>
      <w:pPr>
        <w:pStyle w:val="LO-normal"/>
        <w:spacing w:before="240" w:after="240" w:line="480" w:lineRule="auto"/>
        <w:rPr>
          <w:rFonts w:ascii="Times New Roman" w:eastAsia="Times New Roman" w:hAnsi="Times New Roman" w:cs="Times New Roman"/>
          <w:color w:val="252525"/>
          <w:sz w:val="24"/>
          <w:szCs w:val="24"/>
        </w:rPr>
      </w:pPr>
    </w:p>
    <w:p>
      <w:pPr>
        <w:pStyle w:val="LO-normal"/>
        <w:spacing w:before="240" w:after="240" w:line="480" w:lineRule="auto"/>
        <w:jc w:val="center"/>
        <w:rPr>
          <w:rFonts w:ascii="Times New Roman" w:eastAsia="Times New Roman" w:hAnsi="Times New Roman" w:cs="Times New Roman"/>
          <w:b/>
          <w:color w:val="252525"/>
          <w:sz w:val="24"/>
          <w:szCs w:val="24"/>
        </w:rPr>
      </w:pPr>
      <w:r>
        <w:rPr>
          <w:rFonts w:ascii="Times New Roman" w:eastAsia="Times New Roman" w:hAnsi="Times New Roman" w:cs="Times New Roman"/>
          <w:b/>
          <w:color w:val="252525"/>
          <w:sz w:val="24"/>
          <w:szCs w:val="24"/>
        </w:rPr>
        <w:t>Trends and Issues in Educational Leadership</w:t>
      </w:r>
    </w:p>
    <w:p>
      <w:pPr>
        <w:pStyle w:val="LO-normal"/>
        <w:spacing w:before="240" w:after="240" w:line="480" w:lineRule="auto"/>
        <w:ind w:left="0" w:firstLine="0"/>
        <w:jc w:val="both"/>
        <w:rPr>
          <w:rFonts w:ascii="Times New Roman" w:eastAsia="Times New Roman" w:hAnsi="Times New Roman" w:cs="Times New Roman"/>
          <w:color w:val="252525"/>
          <w:sz w:val="24"/>
          <w:szCs w:val="24"/>
        </w:rPr>
      </w:pPr>
    </w:p>
    <w:p>
      <w:pPr>
        <w:pStyle w:val="LO-normal"/>
        <w:spacing w:before="240" w:after="240" w:line="480" w:lineRule="auto"/>
        <w:ind w:left="0" w:firstLine="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The evolving landscape of educational leadership stands at a pivotal juncture marked by imminent transformation and enduring challenges within the learning resource center, compelling the Ministry of Education to navigate a multifaceted terrain. Administrators in the educational ministry, ranging from the school principal to the district administration, must shape and mend the student's educational experience and the trajectory of the community. Educational leadership is evolving in uncharted territory in this era of information proliferation, cultural diversity, and technological advancement. The occurrence of digital tools, the desire for global competency, and the need for diversity, together with the development of pedagogical techniques, all help to generate the backdrop on which educational leaders must draw their ideologies. At the same time, perennial issues, including shortages of teachers, financial restrictions, mental health issues, and the intricate nature of policies, continue to necessitate careful navigation. It becomes evident as I go through these characteristics that the role of an educational leader in the modern age of rapid change and ongoing adaptation is more complex, significant, and demanding than it has ever been. </w:t>
      </w:r>
    </w:p>
    <w:p>
      <w:pPr>
        <w:pStyle w:val="LO-normal"/>
        <w:spacing w:before="240" w:after="240" w:line="480" w:lineRule="auto"/>
        <w:ind w:left="0" w:firstLine="72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The stability and effectiveness of education are under significant threat due to critical teacher shortages and retention challenges within the realm of educational leadership Educational authorities are faced with the worrisome task of addressing the primary causes behind this trend as schools struggle to recruit and retain talented teachers. Low compensation, insufficient professional development, high workloads, and a lack of career growth opportunities all contribute to the attrition of experienced instructors and make it difficult to find new talent. Effective educational leaders put the needs of their students first, take decisive action to address these problems and implement initiatives that improve teacher support as well as work happiness. By promoting robust professional growth opportunities, competitive compensation packages, and improved working conditions, together with mentoring programs, they are working to amend the educational landscape. Recognizing the pivotal role that teachers play in shaping students' futures, these leaders are not only striving to fill classrooms with proficient educators but also investing in the long-term success and quality of education. Additionally, administrators, including decision-makers, usually look for teacher recruitment strategies to manage teacher shortages. (Carver-Thomas, D., &amp; Darling-Hammond, L. 2019). </w:t>
      </w:r>
    </w:p>
    <w:p>
      <w:pPr>
        <w:pStyle w:val="LO-normal"/>
        <w:spacing w:before="240" w:after="240" w:line="480" w:lineRule="auto"/>
        <w:ind w:left="0" w:firstLine="72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Within the realm of educational leadership, students' mental health has risen to the forefront as a pivotal concern, illuminating the imperative for a holistic approach to learners' well-being. As societal pressure increases, academic demands intensify, and educational leaders are obligated to address many aspects based on the challenges that affect learners' mental health. They are pioneering initiatives that create safe spaces for students to express their emotions, along with supportive environments where students feel comfortable seeking help. By integrating mental health education, mindfulness practices, and counseling services into the curriculum, such instructors are enhancing learners' coping skills and encouraging emotional resilience. Moreover, they are collaborating with mental health professionals, families, and communities to establish a comprehensive network of support. Understanding that learners' mental health profoundly impacts their overall development and academic performance, these leaders are championing a cultural shift that values mental well-being on par with academic achievement. In their pursuit of nurturing healthy minds, they are shaping educational institutions into spaces that prioritize not only cognitive growth but also the emotional flourishing of every student (Vilchez et al., 2021). </w:t>
      </w:r>
    </w:p>
    <w:p>
      <w:pPr>
        <w:pStyle w:val="LO-normal"/>
        <w:spacing w:before="240" w:after="240" w:line="480" w:lineRule="auto"/>
        <w:ind w:left="0" w:firstLine="720"/>
        <w:jc w:val="both"/>
        <w:rPr>
          <w:rFonts w:ascii="Times New Roman" w:eastAsia="Times New Roman" w:hAnsi="Times New Roman" w:cs="Times New Roman"/>
          <w:color w:val="252525"/>
          <w:sz w:val="24"/>
          <w:szCs w:val="24"/>
        </w:rPr>
      </w:pPr>
    </w:p>
    <w:p>
      <w:pPr>
        <w:pStyle w:val="LO-normal"/>
        <w:spacing w:before="240" w:after="240" w:line="480" w:lineRule="auto"/>
        <w:ind w:left="0" w:firstLine="72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Educational leadership grapples with the intricate challenge of navigating policy changes that wield transformative influence over institutions and education systems, particularly highlighted by the Education for All policy's dependence on simultaneous educational quality enhancement. Along these lines, the realistic potential of education frequently goes untapped, especially in poor countries where educational standards and quality frequently fall short of having the desired effect. The ever-evolving landscape of educational policies at the local, regional, and national levels behooves educational leaders to possess a deep comprehension of policy nuances and their implications. These policy changes encompass a spectrum of domains, including the integration of technology requirements, assessment methodologies, and budgetary allocations, together with curriculum changes. However, it might be intricate to turn policy directives into workable tactics; interpreting changes to policy, planning their implementation, and ensuring seamless alignment with the institution's broader goals are the responsibilities of educational leaders. This typically calls for participating in stakeholder talks, teamwork, community involvement, and fighting for just policies that emphasize student well-being and academic growth. In addition to these difficulties, proficient educational leaders use their knowledge to facilitate seamless policy transitions, sustain quality education, foster innovation, and promote equity while navigating the shifting terrain of educational policy</w:t>
      </w:r>
      <w:r>
        <w:rPr>
          <w:rFonts w:ascii="Times New Roman" w:eastAsia="Times New Roman" w:hAnsi="Times New Roman" w:cs="Times New Roman"/>
          <w:color w:val="252525"/>
          <w:sz w:val="24"/>
          <w:szCs w:val="24"/>
        </w:rPr>
        <w:t>(Madani, 2019)</w:t>
      </w:r>
      <w:r>
        <w:rPr>
          <w:rFonts w:ascii="Times New Roman" w:eastAsia="Times New Roman" w:hAnsi="Times New Roman" w:cs="Times New Roman"/>
          <w:color w:val="252525"/>
          <w:sz w:val="24"/>
          <w:szCs w:val="24"/>
        </w:rPr>
        <w:t xml:space="preserve">. </w:t>
      </w:r>
    </w:p>
    <w:p>
      <w:pPr>
        <w:pStyle w:val="LO-normal"/>
        <w:spacing w:before="240" w:after="240" w:line="480" w:lineRule="auto"/>
        <w:ind w:left="0" w:firstLine="72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The landscape of educational leadership is undergoing a profound transformation fueled by the imperative of global and intercultural competence, </w:t>
      </w:r>
      <w:r>
        <w:rPr>
          <w:rFonts w:ascii="Times New Roman" w:eastAsia="Times New Roman" w:hAnsi="Times New Roman" w:cs="Times New Roman"/>
          <w:color w:val="252525"/>
          <w:sz w:val="24"/>
          <w:szCs w:val="24"/>
        </w:rPr>
        <w:t>(</w:t>
      </w:r>
      <w:r>
        <w:rPr>
          <w:rFonts w:ascii="Times New Roman" w:eastAsia="Times New Roman" w:hAnsi="Times New Roman" w:cs="Times New Roman"/>
          <w:color w:val="252525"/>
          <w:sz w:val="24"/>
          <w:szCs w:val="24"/>
        </w:rPr>
        <w:t xml:space="preserve">Shayery, 2022). In a society with increasing cultural diversity and globalization, educators are realizing how crucial it is to foster intercultural understanding and provide students with skills that cross boundaries. This development highlights the crucial role that educational leaders play in developing projects, laws, and programs that support a global perspective and multicultural understanding. Leaders are educating children to flourish in a globally interconnected society by incorporating language learning opportunities into educational frameworks, international collaborations, and intercultural experiences. The promotion of cross-cultural communication, the growth of empathy, and open-mindedness by educational leaders pave the way for students to become culturally aware citizens and compassionate people. Leaders must adopt cutting-edge pedagogies to counter this trend, promote inclusive education, and encourage a culture that values diversity. By doing this, educational leaders are actively guiding their institutions toward a future in which graduates have the knowledge and outlook required to prosper in a world that is becoming more connected. </w:t>
      </w:r>
    </w:p>
    <w:p>
      <w:pPr>
        <w:pStyle w:val="LO-normal"/>
        <w:spacing w:before="240" w:after="240" w:line="480" w:lineRule="auto"/>
        <w:ind w:left="0" w:firstLine="72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The Ministry of Education's acknowledgment of technology as a pivotal driver of student empowerment underscores a trans-formative shift in education. Customization of the learning platforms, digital resources, and online collaboration tools provides learners with agency over their education. This trend promotes active engagement, self-directed learning, and critical thinking skills as students navigate digital content and contribute to their learning journeys (Bereczki &amp; Kárpáti, 2021). Moreover, online platforms, digital assessments, and virtual classrooms are shaping the mode of learning, thus enabling technology implementation, an important trend for most leaders to navigate effectively. Technology integration is an intricate phenomenon that requires apprehension of teachers' influence and attitudes, together with mindsets towards learning and technology. However, by using technology, teachers may adapt their lessons to the needs of each student. Platforms for adaptive learning examine student performance data to generate essential information that fits each student's speed and learning preferences. To ensure that personalized learning keeps its emphasis on attaining educational aims, the Ministry of Education must provide instructors with the guidance they need to use these tools effectively. To ensure that technology remains a potent tool for enriching education and preparing students for a dynamic future, educational leaders will continue to play a crucial role in determining how it is integrated. </w:t>
      </w:r>
    </w:p>
    <w:p>
      <w:pPr>
        <w:pStyle w:val="LO-normal"/>
        <w:spacing w:before="240" w:after="240" w:line="480" w:lineRule="auto"/>
        <w:jc w:val="center"/>
        <w:rPr>
          <w:rFonts w:ascii="Times New Roman" w:eastAsia="Times New Roman" w:hAnsi="Times New Roman" w:cs="Times New Roman"/>
          <w:b/>
          <w:color w:val="252525"/>
          <w:sz w:val="24"/>
          <w:szCs w:val="24"/>
        </w:rPr>
      </w:pPr>
    </w:p>
    <w:p>
      <w:pPr>
        <w:pStyle w:val="LO-normal"/>
        <w:spacing w:before="240" w:after="240" w:line="480" w:lineRule="auto"/>
        <w:jc w:val="center"/>
        <w:rPr>
          <w:rFonts w:ascii="Times New Roman" w:eastAsia="Times New Roman" w:hAnsi="Times New Roman" w:cs="Times New Roman"/>
          <w:b/>
          <w:color w:val="252525"/>
          <w:sz w:val="24"/>
          <w:szCs w:val="24"/>
        </w:rPr>
      </w:pPr>
    </w:p>
    <w:p>
      <w:pPr>
        <w:pStyle w:val="LO-normal"/>
        <w:spacing w:before="240" w:after="240" w:line="480" w:lineRule="auto"/>
        <w:jc w:val="center"/>
        <w:rPr>
          <w:rFonts w:ascii="Times New Roman" w:eastAsia="Times New Roman" w:hAnsi="Times New Roman" w:cs="Times New Roman"/>
          <w:b/>
          <w:color w:val="252525"/>
          <w:sz w:val="24"/>
          <w:szCs w:val="24"/>
        </w:rPr>
      </w:pPr>
    </w:p>
    <w:p>
      <w:pPr>
        <w:pStyle w:val="LO-normal"/>
        <w:spacing w:before="240" w:after="240" w:line="480" w:lineRule="auto"/>
        <w:jc w:val="center"/>
        <w:rPr>
          <w:rFonts w:ascii="Times New Roman" w:eastAsia="Times New Roman" w:hAnsi="Times New Roman" w:cs="Times New Roman"/>
          <w:b/>
          <w:color w:val="252525"/>
          <w:sz w:val="24"/>
          <w:szCs w:val="24"/>
        </w:rPr>
      </w:pPr>
    </w:p>
    <w:p>
      <w:pPr>
        <w:pStyle w:val="LO-normal"/>
        <w:spacing w:before="240" w:after="240" w:line="480" w:lineRule="auto"/>
        <w:jc w:val="center"/>
        <w:rPr>
          <w:rFonts w:ascii="Times New Roman" w:eastAsia="Times New Roman" w:hAnsi="Times New Roman" w:cs="Times New Roman"/>
          <w:b/>
          <w:color w:val="252525"/>
          <w:sz w:val="24"/>
          <w:szCs w:val="24"/>
        </w:rPr>
      </w:pPr>
    </w:p>
    <w:p>
      <w:pPr>
        <w:pStyle w:val="LO-normal"/>
        <w:spacing w:before="240" w:after="240" w:line="480" w:lineRule="auto"/>
        <w:jc w:val="center"/>
        <w:rPr>
          <w:rFonts w:ascii="Times New Roman" w:eastAsia="Times New Roman" w:hAnsi="Times New Roman" w:cs="Times New Roman"/>
          <w:b/>
          <w:color w:val="252525"/>
          <w:sz w:val="24"/>
          <w:szCs w:val="24"/>
        </w:rPr>
      </w:pPr>
    </w:p>
    <w:p>
      <w:pPr>
        <w:pStyle w:val="LO-normal"/>
        <w:spacing w:before="240" w:after="240" w:line="480" w:lineRule="auto"/>
        <w:jc w:val="center"/>
        <w:rPr>
          <w:rFonts w:ascii="Times New Roman" w:eastAsia="Times New Roman" w:hAnsi="Times New Roman" w:cs="Times New Roman"/>
          <w:b/>
          <w:color w:val="252525"/>
          <w:sz w:val="24"/>
          <w:szCs w:val="24"/>
        </w:rPr>
      </w:pPr>
    </w:p>
    <w:p>
      <w:pPr>
        <w:pStyle w:val="LO-normal"/>
        <w:spacing w:before="240" w:after="240" w:line="480" w:lineRule="auto"/>
        <w:jc w:val="center"/>
        <w:rPr>
          <w:rFonts w:ascii="Times New Roman" w:eastAsia="Times New Roman" w:hAnsi="Times New Roman" w:cs="Times New Roman"/>
          <w:b/>
          <w:color w:val="252525"/>
          <w:sz w:val="24"/>
          <w:szCs w:val="24"/>
        </w:rPr>
      </w:pPr>
    </w:p>
    <w:p>
      <w:pPr>
        <w:pStyle w:val="LO-normal"/>
        <w:spacing w:before="240" w:after="240" w:line="480" w:lineRule="auto"/>
        <w:jc w:val="center"/>
        <w:rPr>
          <w:rFonts w:ascii="Times New Roman" w:eastAsia="Times New Roman" w:hAnsi="Times New Roman" w:cs="Times New Roman"/>
          <w:b/>
          <w:color w:val="252525"/>
          <w:sz w:val="24"/>
          <w:szCs w:val="24"/>
        </w:rPr>
      </w:pPr>
    </w:p>
    <w:p>
      <w:pPr>
        <w:pStyle w:val="LO-normal"/>
        <w:spacing w:before="240" w:after="240" w:line="480" w:lineRule="auto"/>
        <w:jc w:val="center"/>
        <w:rPr>
          <w:rFonts w:ascii="Times New Roman" w:eastAsia="Times New Roman" w:hAnsi="Times New Roman" w:cs="Times New Roman"/>
          <w:b/>
          <w:color w:val="252525"/>
          <w:sz w:val="24"/>
          <w:szCs w:val="24"/>
        </w:rPr>
      </w:pPr>
    </w:p>
    <w:p>
      <w:pPr>
        <w:pStyle w:val="LO-normal"/>
        <w:spacing w:before="240" w:after="240" w:line="480" w:lineRule="auto"/>
        <w:jc w:val="center"/>
        <w:rPr>
          <w:rFonts w:ascii="Times New Roman" w:eastAsia="Times New Roman" w:hAnsi="Times New Roman" w:cs="Times New Roman"/>
          <w:b/>
          <w:color w:val="252525"/>
          <w:sz w:val="24"/>
          <w:szCs w:val="24"/>
        </w:rPr>
      </w:pPr>
    </w:p>
    <w:p>
      <w:pPr>
        <w:pStyle w:val="LO-normal"/>
        <w:spacing w:before="240" w:after="240" w:line="480" w:lineRule="auto"/>
        <w:jc w:val="center"/>
        <w:rPr>
          <w:rFonts w:ascii="Times New Roman" w:eastAsia="Times New Roman" w:hAnsi="Times New Roman" w:cs="Times New Roman"/>
          <w:b/>
          <w:color w:val="252525"/>
          <w:sz w:val="24"/>
          <w:szCs w:val="24"/>
        </w:rPr>
      </w:pPr>
    </w:p>
    <w:p>
      <w:pPr>
        <w:pStyle w:val="LO-normal"/>
        <w:spacing w:before="240" w:after="240" w:line="480" w:lineRule="auto"/>
        <w:jc w:val="center"/>
        <w:rPr>
          <w:rFonts w:ascii="Times New Roman" w:eastAsia="Times New Roman" w:hAnsi="Times New Roman" w:cs="Times New Roman"/>
          <w:b/>
          <w:color w:val="252525"/>
          <w:sz w:val="24"/>
          <w:szCs w:val="24"/>
        </w:rPr>
      </w:pPr>
    </w:p>
    <w:p>
      <w:pPr>
        <w:pStyle w:val="LO-normal"/>
        <w:spacing w:before="240" w:after="240" w:line="480" w:lineRule="auto"/>
        <w:jc w:val="center"/>
        <w:rPr>
          <w:rFonts w:ascii="Times New Roman" w:eastAsia="Times New Roman" w:hAnsi="Times New Roman" w:cs="Times New Roman"/>
          <w:b/>
          <w:color w:val="252525"/>
          <w:sz w:val="24"/>
          <w:szCs w:val="24"/>
        </w:rPr>
      </w:pPr>
    </w:p>
    <w:p>
      <w:pPr>
        <w:pStyle w:val="LO-normal"/>
        <w:spacing w:before="240" w:after="240" w:line="480" w:lineRule="auto"/>
        <w:jc w:val="center"/>
        <w:rPr>
          <w:rFonts w:ascii="Times New Roman" w:eastAsia="Times New Roman" w:hAnsi="Times New Roman" w:cs="Times New Roman"/>
          <w:b/>
          <w:color w:val="252525"/>
          <w:sz w:val="24"/>
          <w:szCs w:val="24"/>
        </w:rPr>
      </w:pPr>
      <w:r>
        <w:rPr>
          <w:rFonts w:ascii="Times New Roman" w:eastAsia="Times New Roman" w:hAnsi="Times New Roman" w:cs="Times New Roman"/>
          <w:b/>
          <w:color w:val="252525"/>
          <w:sz w:val="24"/>
          <w:szCs w:val="24"/>
        </w:rPr>
        <w:t>Reference</w:t>
      </w:r>
    </w:p>
    <w:p>
      <w:pPr>
        <w:pStyle w:val="LO-normal"/>
        <w:spacing w:before="240" w:after="240" w:line="480" w:lineRule="auto"/>
        <w:ind w:left="720" w:hanging="72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Bereczki, E. O., &amp; Kárpáti, A. (2021). Technology-enhanced creativity: a multiple case study of digital technology-integration expert teachers’ beliefs and practices Thinking Skills and Creativity, 39, 100791. </w:t>
      </w:r>
    </w:p>
    <w:p>
      <w:pPr>
        <w:pStyle w:val="LO-normal"/>
        <w:spacing w:before="240" w:after="240" w:line="480" w:lineRule="auto"/>
        <w:ind w:left="720" w:hanging="72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Carver-Thomas, D., &amp; Darling-Hammond, L. (2019). The trouble with teacher turnover: how teacher attrition affects students and schools Education policy analysis archives, 27 (36). </w:t>
      </w:r>
    </w:p>
    <w:p>
      <w:pPr>
        <w:pStyle w:val="LO-normal"/>
        <w:spacing w:before="240" w:after="240" w:line="480" w:lineRule="auto"/>
        <w:ind w:left="720" w:hanging="72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Madani, R. A. (2019). Analysis of Educational Quality, a Goal of Education for All Policy Higher Education Studies, 9(1), 100–109. </w:t>
      </w:r>
    </w:p>
    <w:p>
      <w:pPr>
        <w:pStyle w:val="LO-normal"/>
        <w:spacing w:before="240" w:after="240" w:line="480" w:lineRule="auto"/>
        <w:ind w:left="720" w:hanging="72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Shayari, A. J., Zayed, N. M., Islam, K. M. A., Hossain, M. F., Nitsenko, V. S., &amp; Imran, M. A. (2022). THE IMPACT OF INTERNATIONALIZATION TO IMPROVE AND ENSURE QUALITY EDUCATION: A CASE STUDY OF DAFFODIL INTERNATIONAL UNIVERSITY (BANGLADESH), Natsional'nyi Hirnychyi Universiteit Naukovyi Visnyk, (6), 160–169. </w:t>
      </w:r>
    </w:p>
    <w:p>
      <w:pPr>
        <w:pStyle w:val="LO-normal"/>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252525"/>
          <w:sz w:val="24"/>
          <w:szCs w:val="24"/>
        </w:rPr>
        <w:t>Vilchez, J. A., Kruse, J., Puffer, M., &amp; Dudovitz, R. N. (2021). Teachers and school health leaders' perspectives on distance learning physical education during the COVID-19 pandemic, Journal of School Health, 91(7), 541–549.</w:t>
      </w:r>
    </w:p>
    <w:sectPr>
      <w:headerReference w:type="default" r:id="rId4"/>
      <w:type w:val="nextPage"/>
      <w:pgSz w:w="12240" w:h="15840"/>
      <w:pgMar w:top="1440" w:right="1440" w:bottom="1440" w:left="1440" w:header="720" w:footer="0" w:gutter="0"/>
      <w:pgNumType w:fmt="decimal" w:start="1"/>
      <w:cols w:space="708"/>
      <w:formProt w:val="0"/>
      <w:textDirection w:val="lrTb"/>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1"/>
    <w:family w:val="roman"/>
    <w:pitch w:val="variable"/>
    <w:sig w:usb0="00000000" w:usb1="00000000" w:usb2="00000000" w:usb3="00000000" w:csb0="00000000" w:csb1="00000000"/>
  </w:font>
  <w:font w:name="Symbol">
    <w:charset w:val="02"/>
    <w:family w:val="roman"/>
    <w:pitch w:val="variable"/>
  </w:font>
  <w:font w:name="Arial">
    <w:charset w:val="01"/>
    <w:family w:val="swiss"/>
    <w:pitch w:val="variable"/>
    <w:sig w:usb0="00000000" w:usb1="00000000" w:usb2="00000000" w:usb3="00000000" w:csb0="00000000" w:csb1="00000000"/>
  </w:font>
  <w:font w:name="Liberation Serif">
    <w:altName w:val="Times New Roman"/>
    <w:charset w:val="01"/>
    <w:family w:val="roman"/>
    <w:pitch w:val="variable"/>
  </w:font>
  <w:font w:name="Liberation Sans">
    <w:altName w:val="Arial"/>
    <w:charset w:val="01"/>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LO-normal"/>
      <w:jc w:val="right"/>
    </w:pPr>
    <w:r>
      <w:fldChar w:fldCharType="begin"/>
    </w:r>
    <w:r>
      <w:instrText xml:space="preserve"> PAGE </w:instrText>
    </w:r>
    <w:r>
      <w:fldChar w:fldCharType="separate"/>
    </w:r>
    <w: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pPr>
      <w:widowControl/>
      <w:bidi w:val="0"/>
      <w:spacing w:before="0" w:after="0" w:line="276" w:lineRule="auto"/>
      <w:jc w:val="left"/>
    </w:pPr>
    <w:rPr>
      <w:rFonts w:ascii="Arial" w:eastAsia="Arial" w:hAnsi="Arial" w:cs="Arial"/>
      <w:color w:val="auto"/>
      <w:kern w:val="0"/>
      <w:sz w:val="22"/>
      <w:szCs w:val="22"/>
      <w:lang w:val="en-US" w:eastAsia="en-US" w:bidi="ar-SA"/>
    </w:rPr>
  </w:style>
  <w:style w:type="character" w:default="1" w:styleId="DefaultParagraphFont">
    <w:name w:val="Default Paragraph Font"/>
    <w:uiPriority w:val="1"/>
    <w:semiHidden/>
    <w:unhideWhenUsed/>
    <w:qFormat/>
  </w:style>
  <w:style w:type="paragraph" w:customStyle="1" w:styleId="Heading1">
    <w:name w:val="Heading 1"/>
    <w:basedOn w:val="LO-normal"/>
    <w:next w:val="LO-normal"/>
    <w:qFormat/>
    <w:pPr>
      <w:keepNext/>
      <w:keepLines/>
      <w:pageBreakBefore w:val="0"/>
      <w:spacing w:before="400" w:after="120"/>
      <w:outlineLvl w:val="0"/>
    </w:pPr>
    <w:rPr>
      <w:sz w:val="40"/>
      <w:szCs w:val="40"/>
    </w:rPr>
  </w:style>
  <w:style w:type="paragraph" w:customStyle="1" w:styleId="Heading2">
    <w:name w:val="Heading 2"/>
    <w:basedOn w:val="LO-normal"/>
    <w:next w:val="LO-normal"/>
    <w:qFormat/>
    <w:pPr>
      <w:keepNext/>
      <w:keepLines/>
      <w:pageBreakBefore w:val="0"/>
      <w:spacing w:before="360" w:after="120"/>
      <w:outlineLvl w:val="1"/>
    </w:pPr>
    <w:rPr>
      <w:b w:val="0"/>
      <w:sz w:val="32"/>
      <w:szCs w:val="32"/>
    </w:rPr>
  </w:style>
  <w:style w:type="paragraph" w:customStyle="1" w:styleId="Heading3">
    <w:name w:val="Heading 3"/>
    <w:basedOn w:val="LO-normal"/>
    <w:next w:val="LO-normal"/>
    <w:qFormat/>
    <w:pPr>
      <w:keepNext/>
      <w:keepLines/>
      <w:pageBreakBefore w:val="0"/>
      <w:spacing w:before="320" w:after="80"/>
      <w:outlineLvl w:val="2"/>
    </w:pPr>
    <w:rPr>
      <w:b w:val="0"/>
      <w:color w:val="434343"/>
      <w:sz w:val="28"/>
      <w:szCs w:val="28"/>
    </w:rPr>
  </w:style>
  <w:style w:type="paragraph" w:customStyle="1" w:styleId="Heading4">
    <w:name w:val="Heading 4"/>
    <w:basedOn w:val="LO-normal"/>
    <w:next w:val="LO-normal"/>
    <w:qFormat/>
    <w:pPr>
      <w:keepNext/>
      <w:keepLines/>
      <w:pageBreakBefore w:val="0"/>
      <w:spacing w:before="280" w:after="80"/>
      <w:outlineLvl w:val="3"/>
    </w:pPr>
    <w:rPr>
      <w:color w:val="666666"/>
      <w:sz w:val="24"/>
      <w:szCs w:val="24"/>
    </w:rPr>
  </w:style>
  <w:style w:type="paragraph" w:customStyle="1" w:styleId="Heading5">
    <w:name w:val="Heading 5"/>
    <w:basedOn w:val="LO-normal"/>
    <w:next w:val="LO-normal"/>
    <w:qFormat/>
    <w:pPr>
      <w:keepNext/>
      <w:keepLines/>
      <w:pageBreakBefore w:val="0"/>
      <w:spacing w:before="240" w:after="80"/>
      <w:outlineLvl w:val="4"/>
    </w:pPr>
    <w:rPr>
      <w:color w:val="666666"/>
      <w:sz w:val="22"/>
      <w:szCs w:val="22"/>
    </w:rPr>
  </w:style>
  <w:style w:type="paragraph" w:customStyle="1" w:styleId="Heading6">
    <w:name w:val="Heading 6"/>
    <w:basedOn w:val="LO-normal"/>
    <w:next w:val="LO-normal"/>
    <w:qFormat/>
    <w:pPr>
      <w:keepNext/>
      <w:keepLines/>
      <w:pageBreakBefore w:val="0"/>
      <w:spacing w:before="240" w:after="80"/>
      <w:outlineLvl w:val="5"/>
    </w:pPr>
    <w:rPr>
      <w:i/>
      <w:color w:val="666666"/>
      <w:sz w:val="22"/>
      <w:szCs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before="0" w:after="140" w:line="276" w:lineRule="auto"/>
    </w:pPr>
  </w:style>
  <w:style w:type="paragraph" w:styleId="List">
    <w:name w:val="List"/>
    <w:basedOn w:val="BodyText"/>
    <w:rPr>
      <w:rFonts w:cs="Lohit Devanagari"/>
    </w:rPr>
  </w:style>
  <w:style w:type="paragraph" w:customStyle="1"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widowControl/>
      <w:bidi w:val="0"/>
      <w:spacing w:before="0" w:after="0" w:line="276" w:lineRule="auto"/>
      <w:jc w:val="left"/>
    </w:pPr>
    <w:rPr>
      <w:rFonts w:ascii="Arial" w:eastAsia="Arial" w:hAnsi="Arial" w:cs="Arial"/>
      <w:color w:val="auto"/>
      <w:kern w:val="0"/>
      <w:sz w:val="22"/>
      <w:szCs w:val="22"/>
      <w:lang w:val="en-US" w:eastAsia="en-US" w:bidi="ar-SA"/>
    </w:rPr>
  </w:style>
  <w:style w:type="paragraph" w:styleId="Title">
    <w:name w:val="Title"/>
    <w:basedOn w:val="LO-normal"/>
    <w:next w:val="LO-normal"/>
    <w:qFormat/>
    <w:pPr>
      <w:keepNext/>
      <w:keepLines/>
      <w:pageBreakBefore w:val="0"/>
      <w:spacing w:before="0" w:after="60"/>
    </w:pPr>
    <w:rPr>
      <w:sz w:val="52"/>
      <w:szCs w:val="52"/>
    </w:rPr>
  </w:style>
  <w:style w:type="paragraph" w:styleId="Subtitle">
    <w:name w:val="Subtitle"/>
    <w:basedOn w:val="LO-normal"/>
    <w:next w:val="LO-normal"/>
    <w:qFormat/>
    <w:pPr>
      <w:keepNext/>
      <w:keepLines/>
      <w:pageBreakBefore w:val="0"/>
      <w:spacing w:before="0" w:after="320"/>
    </w:pPr>
    <w:rPr>
      <w:rFonts w:ascii="Arial" w:eastAsia="Arial" w:hAnsi="Arial" w:cs="Arial"/>
      <w:i w:val="0"/>
      <w:color w:val="666666"/>
      <w:sz w:val="30"/>
      <w:szCs w:val="30"/>
    </w:rPr>
  </w:style>
  <w:style w:type="paragraph" w:customStyle="1" w:styleId="HeaderandFooter">
    <w:name w:val="Header and Footer"/>
    <w:basedOn w:val="Normal"/>
    <w:qFormat/>
  </w:style>
  <w:style w:type="paragraph" w:customStyle="1" w:styleId="Header">
    <w:name w:val="Header"/>
    <w:basedOn w:val="HeaderandFooter"/>
  </w:style>
  <w:style w:type="table" w:customStyle="1" w:styleId="TableNormal">
    <w:name w:val="Table 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23</TotalTime>
  <Pages>7</Pages>
  <Words>1310</Words>
  <Characters>8344</Characters>
  <Application>Microsoft Office Word</Application>
  <DocSecurity>0</DocSecurity>
  <Lines>0</Lines>
  <Paragraphs>19</Paragraphs>
  <ScaleCrop>false</ScaleCrop>
  <Company/>
  <LinksUpToDate>false</LinksUpToDate>
  <CharactersWithSpaces>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modified xsi:type="dcterms:W3CDTF">2023-08-21T18:44:19Z</dcterms:modified>
  <dc:language>en-US</dc:language>
</cp:coreProperties>
</file>