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0000" w:rsidRPr="00000000" w:rsidP="00000000" w14:paraId="00000001">
      <w:pPr>
        <w:pStyle w:val="normal0"/>
        <w:spacing w:after="240" w:line="480" w:lineRule="auto"/>
        <w:jc w:val="center"/>
        <w:rPr>
          <w:rFonts w:ascii="Times New Roman" w:eastAsia="Times New Roman" w:hAnsi="Times New Roman" w:cs="Times New Roman"/>
          <w:b/>
          <w:color w:val="252525"/>
          <w:sz w:val="24"/>
          <w:szCs w:val="24"/>
        </w:rPr>
      </w:pPr>
      <w:r w:rsidRPr="00000000">
        <w:rPr>
          <w:rFonts w:ascii="Times New Roman" w:eastAsia="Times New Roman" w:hAnsi="Times New Roman" w:cs="Times New Roman"/>
          <w:b/>
          <w:color w:val="252525"/>
          <w:sz w:val="24"/>
          <w:szCs w:val="24"/>
          <w:rtl w:val="0"/>
        </w:rPr>
        <w:t>Trends and Issues in Educational Leadership</w:t>
      </w:r>
    </w:p>
    <w:p w:rsidR="00000000" w:rsidRPr="00000000" w:rsidP="00000000" w14:paraId="00000002">
      <w:pPr>
        <w:pStyle w:val="normal0"/>
        <w:spacing w:before="240" w:after="240" w:line="480" w:lineRule="auto"/>
        <w:jc w:val="center"/>
        <w:rPr>
          <w:rFonts w:ascii="Times New Roman" w:eastAsia="Times New Roman" w:hAnsi="Times New Roman" w:cs="Times New Roman"/>
          <w:color w:val="252525"/>
          <w:sz w:val="24"/>
          <w:szCs w:val="24"/>
        </w:rPr>
      </w:pPr>
    </w:p>
    <w:p w:rsidR="00000000" w:rsidRPr="00000000" w:rsidP="00000000" w14:paraId="00000003">
      <w:pPr>
        <w:pStyle w:val="normal0"/>
        <w:spacing w:before="240" w:after="240" w:line="480" w:lineRule="auto"/>
        <w:jc w:val="center"/>
        <w:rPr>
          <w:rFonts w:ascii="Times New Roman" w:eastAsia="Times New Roman" w:hAnsi="Times New Roman" w:cs="Times New Roman"/>
          <w:color w:val="252525"/>
          <w:sz w:val="24"/>
          <w:szCs w:val="24"/>
        </w:rPr>
      </w:pPr>
    </w:p>
    <w:p w:rsidR="00000000" w:rsidRPr="00000000" w:rsidP="00000000" w14:paraId="00000004">
      <w:pPr>
        <w:pStyle w:val="normal0"/>
        <w:spacing w:before="240" w:after="240" w:line="480" w:lineRule="auto"/>
        <w:jc w:val="center"/>
        <w:rPr>
          <w:rFonts w:ascii="Times New Roman" w:eastAsia="Times New Roman" w:hAnsi="Times New Roman" w:cs="Times New Roman"/>
          <w:color w:val="252525"/>
          <w:sz w:val="24"/>
          <w:szCs w:val="24"/>
        </w:rPr>
      </w:pPr>
    </w:p>
    <w:p w:rsidR="00000000" w:rsidRPr="00000000" w:rsidP="00000000" w14:paraId="00000005">
      <w:pPr>
        <w:pStyle w:val="normal0"/>
        <w:spacing w:before="240" w:after="240" w:line="480" w:lineRule="auto"/>
        <w:jc w:val="center"/>
        <w:rPr>
          <w:rFonts w:ascii="Times New Roman" w:eastAsia="Times New Roman" w:hAnsi="Times New Roman" w:cs="Times New Roman"/>
          <w:color w:val="252525"/>
          <w:sz w:val="24"/>
          <w:szCs w:val="24"/>
        </w:rPr>
      </w:pPr>
    </w:p>
    <w:p w:rsidR="00000000" w:rsidRPr="00000000" w:rsidP="00000000" w14:paraId="00000006">
      <w:pPr>
        <w:pStyle w:val="normal0"/>
        <w:spacing w:before="240" w:after="240" w:line="480" w:lineRule="auto"/>
        <w:jc w:val="center"/>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Name of the Author</w:t>
      </w:r>
    </w:p>
    <w:p w:rsidR="00000000" w:rsidRPr="00000000" w:rsidP="00000000" w14:paraId="00000007">
      <w:pPr>
        <w:pStyle w:val="normal0"/>
        <w:spacing w:before="240" w:after="240" w:line="480" w:lineRule="auto"/>
        <w:jc w:val="center"/>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Institution Affiliation</w:t>
      </w:r>
    </w:p>
    <w:p w:rsidR="00000000" w:rsidRPr="00000000" w:rsidP="00000000" w14:paraId="00000008">
      <w:pPr>
        <w:pStyle w:val="normal0"/>
        <w:spacing w:before="240" w:after="240" w:line="480" w:lineRule="auto"/>
        <w:jc w:val="center"/>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Course Instructor</w:t>
      </w:r>
    </w:p>
    <w:p w:rsidR="00000000" w:rsidRPr="00000000" w:rsidP="00000000" w14:paraId="00000009">
      <w:pPr>
        <w:pStyle w:val="normal0"/>
        <w:spacing w:before="240" w:after="240" w:line="480" w:lineRule="auto"/>
        <w:jc w:val="center"/>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Due Date</w:t>
      </w:r>
    </w:p>
    <w:p w:rsidR="00000000" w:rsidRPr="00000000" w:rsidP="00000000" w14:paraId="0000000A">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0B">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0C">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0D">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0E">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0F">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10">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11">
      <w:pPr>
        <w:pStyle w:val="normal0"/>
        <w:spacing w:before="240" w:after="240" w:line="480" w:lineRule="auto"/>
        <w:rPr>
          <w:rFonts w:ascii="Times New Roman" w:eastAsia="Times New Roman" w:hAnsi="Times New Roman" w:cs="Times New Roman"/>
          <w:color w:val="252525"/>
          <w:sz w:val="24"/>
          <w:szCs w:val="24"/>
        </w:rPr>
      </w:pPr>
    </w:p>
    <w:p w:rsidR="00000000" w:rsidRPr="00000000" w:rsidP="00000000" w14:paraId="00000012">
      <w:pPr>
        <w:pStyle w:val="normal0"/>
        <w:spacing w:before="240" w:after="240" w:line="480" w:lineRule="auto"/>
        <w:jc w:val="center"/>
        <w:rPr>
          <w:rFonts w:ascii="Times New Roman" w:eastAsia="Times New Roman" w:hAnsi="Times New Roman" w:cs="Times New Roman"/>
          <w:b/>
          <w:color w:val="252525"/>
          <w:sz w:val="24"/>
          <w:szCs w:val="24"/>
        </w:rPr>
      </w:pPr>
      <w:r w:rsidRPr="00000000">
        <w:rPr>
          <w:rFonts w:ascii="Times New Roman" w:eastAsia="Times New Roman" w:hAnsi="Times New Roman" w:cs="Times New Roman"/>
          <w:b/>
          <w:color w:val="252525"/>
          <w:sz w:val="24"/>
          <w:szCs w:val="24"/>
          <w:rtl w:val="0"/>
        </w:rPr>
        <w:t>Trends and Issues in Educational Leadership</w:t>
      </w:r>
    </w:p>
    <w:p w:rsidR="00000000" w:rsidRPr="00000000" w:rsidP="00000000" w14:paraId="00000013">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Education leadership is on the verge of transformation and continuity in the learning resource center; nevertheless, there are challenges and opportunities that the Ministry of Education must face. Administrators in the educational ministry, ranging from the school principal to the district administration, must shape and mend the student's educational experience and the trajectory of the community. Educational leadership is evolving in uncharted territory in this era of information proliferation, cultural diversity, and technological advancement. The occurrence of digital tools, the desire for global competency, and the need for diversity, together with the development of pedagogical techniques, all help to generate the backdrop on which educational leaders must draw their ideologies. At the same time, perennial issues, including shortages of teachers, financial restrictions, mental health issues, and the intricate nature of policies, continue to necessitate careful navigation. It becomes evident as I go through these characteristics that the role of an educational leader in the modern age of rapid change and ongoing adaptation is more complex, significant, and demanding than it has ever been. </w:t>
      </w:r>
    </w:p>
    <w:p w:rsidR="00000000" w:rsidRPr="00000000" w:rsidP="00000000" w14:paraId="00000014">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The stability and quality of education are in doubt due to the pressing issues of teacher shortages and retention issues in the sphere of educational leadership. Educational authorities are faced with the worrisome task of addressing the primary causes behind this trend as schools struggle to recruit and retain talented teachers. Low compensation, insufficient professional development, high workloads, and a lack of career growth opportunities all contribute to the attrition of experienced instructors and make it difficult to find new talent. Effective educational leaders put the needs of their students first, take decisive action to address these problems and implement initiatives that improve teacher support as well as work happiness. By promoting robust professional growth opportunities, competitive compensation packages, and improved working conditions, together with mentoring programs, they are working to amend the educational landscape. Recognizing the pivotal role that teachers play in shaping students' futures, these leaders are not only striving to fill classrooms with proficient educators but also investing in the long-term success and quality of education. Additionally, administrators, including decision-makers, usually look for teacher recruitment strategies to manage teacher shortages. (Carver-Thomas, D., &amp; Darling-Hammond, L. 2019). </w:t>
      </w:r>
    </w:p>
    <w:p w:rsidR="00000000" w:rsidRPr="00000000" w:rsidP="00000000" w14:paraId="00000015">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Students' mental health has emerged as the paramount issue in the purview of educational leadership, casting a spotlight on the holistic well-being of the students. As societal pressure increases, academic demands intensify, and educational leaders are obligated to address many aspects based on the challenges that affect learners' mental health. They are pioneering initiatives that create safe spaces for students to express their emotions, along with supportive environments where students feel comfortable seeking help. By integrating mental health education, mindfulness practices, and counseling services into the curriculum, such instructors are enhancing learners' coping skills and encouraging emotional resilience. Moreover, they are collaborating with mental health professionals, families, and communities to establish a comprehensive network of support. Understanding that learners' mental health profoundly impacts their overall development and academic performance, these leaders are championing a cultural shift that values mental well-being on par with academic achievement. In their pursuit of nurturing healthy minds, they are shaping educational institutions into spaces that prioritize not only cognitive growth but also the emotional flourishing of every student (Vilchez et al., 2021). </w:t>
      </w:r>
    </w:p>
    <w:p w:rsidR="00000000" w:rsidRPr="00000000" w:rsidP="00000000" w14:paraId="00000016">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Educational leadership grapples with the intricate challenge of policy changes, which shape the trajectory of institutions and education systems. According to Madani (2019), the realization of the Education for All policy hinges on the concurrent enhancement of its educational quality. Along these lines, the realistic potential of education frequently goes untapped, especially in poor countries where educational standards and quality frequently fall short of having the desired effect. The ever-evolving landscape of educational policies at the local, regional, and national levels behooves educational leaders to possess a deep comprehension of policy nuances and their implications. These policy changes encompass a spectrum of domains, including the integration of technology requirements, assessment methodologies, and budgetary allocations, together with curriculum changes. However, it might be intricate to turn policy directives into workable tactics; interpreting changes to policy, planning their implementation, and ensuring seamless alignment with the institution's broader goals are the responsibilities of educational leaders. This typically calls for participating in stakeholder talks, teamwork, community involvement, and fighting for just policies that emphasize student well-being and academic growth. In addition to these difficulties, proficient educational leaders use their knowledge to facilitate seamless policy transitions, sustain quality education, foster innovation, and promote equity while navigating the shifting terrain of educational policy. </w:t>
      </w:r>
    </w:p>
    <w:p w:rsidR="00000000" w:rsidRPr="00000000" w:rsidP="00000000" w14:paraId="00000017">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According to Shayery (2022), the landscape of educational leadership is being profoundly impacted by the increasing trend of global and intercultural competence. In a society with increasing cultural diversity and globalization, educators are realizing how crucial it is to foster intercultural understanding and provide students with skills that cross boundaries. This development highlights the crucial role that educational leaders play in developing projects, laws, and programs that support a global perspective and multicultural understanding. Leaders are educating children to flourish in a globally interconnected society by incorporating language learning opportunities into educational frameworks, international collaborations, and intercultural experiences. The promotion of cross-cultural communication, the growth of empathy, and open-mindedness by educational leaders pave the way for students to become culturally aware citizens and compassionate people. Leaders must adopt cutting-edge pedagogies to counter this trend, promote inclusive education, and encourage a culture that values diversity. By doing this, educational leaders are actively guiding their institutions toward a future in which graduates have the knowledge and outlook required to prosper in a world that is becoming more connected. </w:t>
      </w:r>
    </w:p>
    <w:p w:rsidR="00000000" w:rsidRPr="00000000" w:rsidP="00000000" w14:paraId="00000018">
      <w:pPr>
        <w:pStyle w:val="normal0"/>
        <w:spacing w:before="240" w:after="240" w:line="480" w:lineRule="auto"/>
        <w:ind w:left="0" w:firstLine="720"/>
        <w:jc w:val="both"/>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The Ministry of Education recognizes technology as a catalyst for student empowerment. Customization of the learning platforms, digital resources, and online collaboration tools provides learners with agency over their education. This trend promotes active engagement, self-directed learning, and critical thinking skills as students navigate digital content and contribute to their learning journeys (Bereczki &amp; Kárpáti, 2021). Moreover, online platforms, digital assessments, and virtual classrooms are shaping the mode of learning, thus enabling technology implementation, an important trend for most leaders to navigate effectively. Technology integration is an intricate phenomenon that requires apprehension of teachers' influence and attitudes, together with mindsets towards learning and technology. However, by using technology, teachers may adapt their lessons to the needs of each student. Platforms for adaptive learning examine student performance data to generate essential information that fits each student's speed and learning preferences. To ensure that personalized learning keeps its emphasis on attaining educational aims, the Ministry of Education must provide instructors with the guidance they need to use these tools effectively. To ensure that technology remains a potent tool for enriching education and preparing students for a dynamic future, educational leaders will continue to play a crucial role in determining how it is integrated. </w:t>
      </w:r>
    </w:p>
    <w:p w:rsidR="00000000" w:rsidRPr="00000000" w:rsidP="00000000" w14:paraId="00000019">
      <w:pPr>
        <w:pStyle w:val="normal0"/>
        <w:spacing w:before="240" w:after="240" w:line="480" w:lineRule="auto"/>
        <w:jc w:val="center"/>
        <w:rPr>
          <w:rFonts w:ascii="Times New Roman" w:eastAsia="Times New Roman" w:hAnsi="Times New Roman" w:cs="Times New Roman"/>
          <w:b/>
          <w:color w:val="252525"/>
          <w:sz w:val="24"/>
          <w:szCs w:val="24"/>
        </w:rPr>
      </w:pPr>
      <w:r w:rsidRPr="00000000">
        <w:rPr>
          <w:rFonts w:ascii="Times New Roman" w:eastAsia="Times New Roman" w:hAnsi="Times New Roman" w:cs="Times New Roman"/>
          <w:b/>
          <w:color w:val="252525"/>
          <w:sz w:val="24"/>
          <w:szCs w:val="24"/>
          <w:rtl w:val="0"/>
        </w:rPr>
        <w:t>Reference</w:t>
      </w:r>
    </w:p>
    <w:p w:rsidR="00000000" w:rsidRPr="00000000" w:rsidP="00000000" w14:paraId="0000001A">
      <w:pPr>
        <w:pStyle w:val="normal0"/>
        <w:spacing w:before="240" w:after="240" w:line="480" w:lineRule="auto"/>
        <w:ind w:left="720" w:hanging="720"/>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Bereczki, E. O., &amp; Kárpáti, A. (2021). Technology-enhanced creativity: a multiple case study of digital technology-integration expert teachers’ beliefs and practices Thinking Skills and Creativity, 39, 100791. </w:t>
      </w:r>
    </w:p>
    <w:p w:rsidR="00000000" w:rsidRPr="00000000" w:rsidP="00000000" w14:paraId="0000001B">
      <w:pPr>
        <w:pStyle w:val="normal0"/>
        <w:spacing w:before="240" w:after="240" w:line="480" w:lineRule="auto"/>
        <w:ind w:left="720" w:hanging="720"/>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Carver-Thomas, D., &amp; Darling-Hammond, L. (2019). The trouble with teacher turnover: how teacher attrition affects students and schools Education policy analysis archives, 27 (36). </w:t>
      </w:r>
    </w:p>
    <w:p w:rsidR="00000000" w:rsidRPr="00000000" w:rsidP="00000000" w14:paraId="0000001C">
      <w:pPr>
        <w:pStyle w:val="normal0"/>
        <w:spacing w:before="240" w:after="240" w:line="480" w:lineRule="auto"/>
        <w:ind w:left="720" w:hanging="720"/>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Madani, R. A. (2019). Analysis of Educational Quality, a Goal of Education for All Policy Higher Education Studies, 9(1), 100–109. </w:t>
      </w:r>
    </w:p>
    <w:p w:rsidR="00000000" w:rsidRPr="00000000" w:rsidP="00000000" w14:paraId="0000001D">
      <w:pPr>
        <w:pStyle w:val="normal0"/>
        <w:spacing w:before="240" w:after="240" w:line="480" w:lineRule="auto"/>
        <w:ind w:left="720" w:hanging="720"/>
        <w:rPr>
          <w:rFonts w:ascii="Times New Roman" w:eastAsia="Times New Roman" w:hAnsi="Times New Roman" w:cs="Times New Roman"/>
          <w:color w:val="252525"/>
          <w:sz w:val="24"/>
          <w:szCs w:val="24"/>
        </w:rPr>
      </w:pPr>
      <w:r w:rsidRPr="00000000">
        <w:rPr>
          <w:rFonts w:ascii="Times New Roman" w:eastAsia="Times New Roman" w:hAnsi="Times New Roman" w:cs="Times New Roman"/>
          <w:color w:val="252525"/>
          <w:sz w:val="24"/>
          <w:szCs w:val="24"/>
          <w:rtl w:val="0"/>
        </w:rPr>
        <w:t xml:space="preserve">Shayari, A. J., Zayed, N. M., Islam, K. M. A., Hossain, M. F., Nitsenko, V. S., &amp; Imran, M. A. (2022). THE IMPACT OF INTERNATIONALIZATION TO IMPROVE AND ENSURE QUALITY EDUCATION: A CASE STUDY OF DAFFODIL INTERNATIONAL UNIVERSITY (BANGLADESH), Natsional'nyi Hirnychyi Universiteit Naukovyi Visnyk, (6), 160–169. </w:t>
      </w:r>
    </w:p>
    <w:p w:rsidR="00000000" w:rsidRPr="00000000" w:rsidP="00000000" w14:paraId="0000001E">
      <w:pPr>
        <w:pStyle w:val="normal0"/>
        <w:spacing w:before="240" w:after="240" w:line="480" w:lineRule="auto"/>
        <w:ind w:left="720" w:hanging="720"/>
        <w:rPr>
          <w:rFonts w:ascii="Times New Roman" w:eastAsia="Times New Roman" w:hAnsi="Times New Roman" w:cs="Times New Roman"/>
          <w:sz w:val="24"/>
          <w:szCs w:val="24"/>
        </w:rPr>
      </w:pPr>
      <w:r w:rsidRPr="00000000">
        <w:rPr>
          <w:rFonts w:ascii="Times New Roman" w:eastAsia="Times New Roman" w:hAnsi="Times New Roman" w:cs="Times New Roman"/>
          <w:color w:val="252525"/>
          <w:sz w:val="24"/>
          <w:szCs w:val="24"/>
          <w:rtl w:val="0"/>
        </w:rPr>
        <w:t>Vilchez, J. A., Kruse, J., Puffer, M., &amp; Dudovitz, R. N. (2021). Teachers and school health leaders' perspectives on distance learning physical education during the COVID-19 pandemic, Journal of School Health, 91(7), 541–549.</w:t>
      </w:r>
    </w:p>
    <w:sectPr>
      <w:headerReference w:type="default" r:id="rId4"/>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F">
    <w:pPr>
      <w:pStyle w:val="normal0"/>
      <w:jc w:val="right"/>
    </w:pPr>
    <w:r w:rsidRPr="00000000">
      <w:fldChar w:fldCharType="begin"/>
    </w:r>
    <w:r w:rsidRPr="00000000">
      <w:instrText>PAGE</w:instrText>
    </w:r>
    <w:r w:rsidRPr="00000000">
      <w:fldChar w:fldCharType="separate"/>
    </w:r>
    <w:r w:rsidRPr="0000000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