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header1.xml" ContentType="application/vnd.openxmlformats-officedocument.wordprocessingml.header+xml"/>
  <Override PartName="/word/numbering.xml" ContentType="application/vnd.openxmlformats-officedocument.wordprocessingml.numbering+xml"/>
  <Override PartName="/word/footer2.xml" ContentType="application/vnd.openxmlformats-officedocument.wordprocessingml.footer+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spacing w:lineRule="auto" w:line="480"/>
        <w:rPr>
          <w:sz w:val="24"/>
          <w:szCs w:val="24"/>
        </w:rPr>
      </w:pPr>
      <w:bookmarkStart w:id="0" w:name="_GoBack"/>
      <w:bookmarkEnd w:id="0"/>
    </w:p>
    <w:p>
      <w:pPr>
        <w:pStyle w:val="style0"/>
        <w:spacing w:lineRule="auto" w:line="480"/>
        <w:rPr>
          <w:sz w:val="24"/>
          <w:szCs w:val="24"/>
        </w:rPr>
      </w:pPr>
    </w:p>
    <w:p>
      <w:pPr>
        <w:pStyle w:val="style0"/>
        <w:spacing w:lineRule="auto" w:line="480"/>
        <w:rPr>
          <w:b/>
          <w:bCs/>
          <w:sz w:val="24"/>
          <w:szCs w:val="24"/>
        </w:rPr>
      </w:pPr>
      <w:r>
        <w:rPr>
          <w:sz w:val="24"/>
          <w:szCs w:val="24"/>
          <w:lang w:val="en-US"/>
        </w:rPr>
        <w:t xml:space="preserve">                                                          </w:t>
      </w:r>
      <w:r>
        <w:rPr>
          <w:b/>
          <w:bCs/>
          <w:sz w:val="24"/>
          <w:szCs w:val="24"/>
          <w:lang w:val="en-US"/>
        </w:rPr>
        <w:t xml:space="preserve">     Safeguarding Our Future</w:t>
      </w:r>
    </w:p>
    <w:p>
      <w:pPr>
        <w:pStyle w:val="style0"/>
        <w:spacing w:lineRule="auto" w:line="480"/>
        <w:rPr>
          <w:b/>
          <w:bCs/>
          <w:sz w:val="24"/>
          <w:szCs w:val="24"/>
        </w:rPr>
      </w:pPr>
      <w:r>
        <w:rPr>
          <w:b/>
          <w:bCs/>
          <w:sz w:val="24"/>
          <w:szCs w:val="24"/>
          <w:lang w:val="en-US"/>
        </w:rPr>
        <w:t xml:space="preserve">      </w:t>
      </w:r>
    </w:p>
    <w:p>
      <w:pPr>
        <w:pStyle w:val="style0"/>
        <w:spacing w:lineRule="auto" w:line="480"/>
        <w:jc w:val="both"/>
        <w:rPr>
          <w:b/>
          <w:bCs/>
          <w:sz w:val="24"/>
          <w:szCs w:val="24"/>
        </w:rPr>
      </w:pPr>
      <w:r>
        <w:rPr>
          <w:b/>
          <w:bCs/>
          <w:sz w:val="24"/>
          <w:szCs w:val="24"/>
          <w:lang w:val="en-US"/>
        </w:rPr>
        <w:t xml:space="preserve">                                                                 Student name </w:t>
      </w:r>
    </w:p>
    <w:p>
      <w:pPr>
        <w:pStyle w:val="style0"/>
        <w:spacing w:lineRule="auto" w:line="480"/>
        <w:jc w:val="both"/>
        <w:rPr>
          <w:b/>
          <w:bCs/>
          <w:sz w:val="24"/>
          <w:szCs w:val="24"/>
        </w:rPr>
      </w:pPr>
      <w:r>
        <w:rPr>
          <w:b/>
          <w:bCs/>
          <w:sz w:val="24"/>
          <w:szCs w:val="24"/>
          <w:lang w:val="en-US"/>
        </w:rPr>
        <w:t xml:space="preserve">                                                                 Institution  name </w:t>
      </w:r>
    </w:p>
    <w:p>
      <w:pPr>
        <w:pStyle w:val="style0"/>
        <w:spacing w:lineRule="auto" w:line="480"/>
        <w:jc w:val="both"/>
        <w:rPr>
          <w:b/>
          <w:bCs/>
          <w:sz w:val="24"/>
          <w:szCs w:val="24"/>
        </w:rPr>
      </w:pPr>
      <w:r>
        <w:rPr>
          <w:b/>
          <w:bCs/>
          <w:sz w:val="24"/>
          <w:szCs w:val="24"/>
          <w:lang w:val="en-US"/>
        </w:rPr>
        <w:t xml:space="preserve">                                                                 Instructor name</w:t>
      </w:r>
    </w:p>
    <w:p>
      <w:pPr>
        <w:pStyle w:val="style0"/>
        <w:spacing w:lineRule="auto" w:line="480"/>
        <w:jc w:val="both"/>
        <w:rPr>
          <w:b/>
          <w:bCs/>
          <w:sz w:val="24"/>
          <w:szCs w:val="24"/>
        </w:rPr>
      </w:pPr>
      <w:r>
        <w:rPr>
          <w:b/>
          <w:bCs/>
          <w:sz w:val="24"/>
          <w:szCs w:val="24"/>
          <w:lang w:val="en-US"/>
        </w:rPr>
        <w:t xml:space="preserve">                                                                  Course</w:t>
      </w:r>
    </w:p>
    <w:p>
      <w:pPr>
        <w:pStyle w:val="style0"/>
        <w:spacing w:lineRule="auto" w:line="480"/>
        <w:jc w:val="both"/>
        <w:rPr>
          <w:b/>
          <w:bCs/>
          <w:sz w:val="24"/>
          <w:szCs w:val="24"/>
        </w:rPr>
      </w:pPr>
      <w:r>
        <w:rPr>
          <w:b/>
          <w:bCs/>
          <w:sz w:val="24"/>
          <w:szCs w:val="24"/>
          <w:lang w:val="en-US"/>
        </w:rPr>
        <w:t xml:space="preserve">                                                                   Date </w:t>
      </w:r>
    </w:p>
    <w:p>
      <w:pPr>
        <w:pStyle w:val="style0"/>
        <w:spacing w:lineRule="auto" w:line="480"/>
        <w:rPr>
          <w:sz w:val="24"/>
          <w:szCs w:val="24"/>
        </w:rPr>
      </w:pPr>
    </w:p>
    <w:p>
      <w:pPr>
        <w:pStyle w:val="style0"/>
        <w:spacing w:lineRule="auto" w:line="480"/>
        <w:jc w:val="center"/>
        <w:rPr>
          <w:b w:val="false"/>
          <w:bCs w:val="false"/>
          <w:color w:val="auto"/>
          <w:sz w:val="24"/>
          <w:szCs w:val="24"/>
          <w:lang w:val="en-US"/>
        </w:rPr>
      </w:pPr>
      <w:r>
        <w:rPr>
          <w:sz w:val="24"/>
          <w:szCs w:val="24"/>
          <w:lang w:val="en-US"/>
        </w:rPr>
        <w:br w:type="page"/>
      </w:r>
      <w:r>
        <w:rPr>
          <w:b/>
          <w:bCs/>
          <w:color w:val="auto"/>
          <w:sz w:val="24"/>
          <w:szCs w:val="24"/>
          <w:lang w:val="en-US"/>
        </w:rPr>
        <w:t>Safeguarding Our Future</w:t>
      </w:r>
    </w:p>
    <w:p>
      <w:pPr>
        <w:pStyle w:val="style0"/>
        <w:spacing w:lineRule="auto" w:line="480"/>
        <w:jc w:val="left"/>
        <w:rPr>
          <w:b/>
          <w:bCs/>
          <w:color w:val="auto"/>
          <w:sz w:val="24"/>
          <w:szCs w:val="24"/>
          <w:lang w:val="en-US"/>
        </w:rPr>
      </w:pPr>
      <w:r>
        <w:rPr>
          <w:b w:val="false"/>
          <w:bCs w:val="false"/>
          <w:color w:val="auto"/>
          <w:sz w:val="24"/>
          <w:szCs w:val="24"/>
          <w:lang w:val="en-US"/>
        </w:rPr>
        <w:t xml:space="preserve">          Drought, a natural phenomenon intensified by human activities, poses a significant threat to communities, agriculture, and environment. To ensure a sustainable future, it is crucial to implement effective strategies to mitigate the impacts of drought and protect the resources.Water conservation plays a vital role in drought mitigation, as it helps to manage  limited water supply more efficiently.Sustainable land management practices,such as soil conservation and reforestation, can enhance resilience to drought and preserve ecosystems. Engaging communities in drought preparedness and response efforts fosters collective action and empowers individuals to contribute to long-term solutions.</w:t>
      </w:r>
    </w:p>
    <w:p>
      <w:pPr>
        <w:pStyle w:val="style0"/>
        <w:spacing w:lineRule="auto" w:line="480"/>
        <w:rPr>
          <w:b/>
          <w:bCs/>
          <w:color w:val="auto"/>
          <w:sz w:val="24"/>
          <w:szCs w:val="24"/>
          <w:lang w:val="en-US"/>
        </w:rPr>
      </w:pPr>
      <w:r>
        <w:rPr>
          <w:b/>
          <w:bCs/>
          <w:color w:val="auto"/>
          <w:sz w:val="24"/>
          <w:szCs w:val="24"/>
          <w:lang w:val="en-US"/>
        </w:rPr>
        <w:t xml:space="preserve">                                           Water Conservation and Advanced Irrigation Techniques</w:t>
      </w:r>
    </w:p>
    <w:p>
      <w:pPr>
        <w:pStyle w:val="style0"/>
        <w:spacing w:lineRule="auto" w:line="480"/>
        <w:rPr>
          <w:b w:val="false"/>
          <w:bCs w:val="false"/>
          <w:color w:val="auto"/>
          <w:sz w:val="24"/>
          <w:szCs w:val="24"/>
          <w:lang w:val="en-US"/>
        </w:rPr>
      </w:pPr>
      <w:r>
        <w:rPr>
          <w:b w:val="false"/>
          <w:bCs w:val="false"/>
          <w:color w:val="auto"/>
          <w:sz w:val="24"/>
          <w:szCs w:val="24"/>
          <w:lang w:val="en-US"/>
        </w:rPr>
        <w:t xml:space="preserve">          According to the United Nations Environment Programme, implementing water conservation measures is crucial for mitigating drought and ensuring water availability during dry periods(Sarvade et al.,2019). One pivotal aspect of our exploration is the examination of water conservation practices and advanced irrigation techniques (Wang,.2019). Water conservation involves the prudent use of water resources through measures like rainwater harvesting and efficient water storage. Implementing water conservation strategies requires a holistic understanding of local ecosystems and community needs. For instance, rainwater harvesting involves capturing precipitation for later use, addressing water scarcity at the household level (Vahmani &amp; Jones 2017). Advanced irrigation techniques, on the other hand, leverage technology to optimize water distribution, ensuring crops receive adequate moisture while minimizing wastage (Montazar et al., 2020). These approaches, when integrated with sustainable agricultural practices, contribute not only to water efficiency but also to the overall resilience of agricultural systems in the face of changing climate conditions.</w:t>
      </w:r>
    </w:p>
    <w:p>
      <w:pPr>
        <w:pStyle w:val="style0"/>
        <w:spacing w:lineRule="auto" w:line="480"/>
        <w:rPr>
          <w:b/>
          <w:bCs/>
          <w:color w:val="auto"/>
          <w:sz w:val="24"/>
          <w:szCs w:val="24"/>
          <w:lang w:val="en-US"/>
        </w:rPr>
      </w:pPr>
      <w:r>
        <w:rPr>
          <w:b/>
          <w:bCs/>
          <w:color w:val="auto"/>
          <w:sz w:val="24"/>
          <w:szCs w:val="24"/>
          <w:lang w:val="en-US"/>
        </w:rPr>
        <w:t xml:space="preserve">                                 Systems and Sustainable Land Management</w:t>
      </w:r>
    </w:p>
    <w:p>
      <w:pPr>
        <w:pStyle w:val="style0"/>
        <w:spacing w:lineRule="auto" w:line="480"/>
        <w:rPr>
          <w:b w:val="false"/>
          <w:bCs w:val="false"/>
          <w:color w:val="auto"/>
          <w:sz w:val="24"/>
          <w:szCs w:val="24"/>
          <w:lang w:val="en-US"/>
        </w:rPr>
      </w:pPr>
      <w:r>
        <w:rPr>
          <w:b w:val="false"/>
          <w:bCs w:val="false"/>
          <w:color w:val="auto"/>
          <w:sz w:val="24"/>
          <w:szCs w:val="24"/>
          <w:lang w:val="en-US"/>
        </w:rPr>
        <w:t xml:space="preserve">          A study by the World Bank found that sustainable land management practices, such as soil conservation and reforestation, can enhance resilience to drought and protect ecosystems (World Bank, 2018).Early Warning In addition to water conservation and irrigation, our study extends its focus to early warning systems and sustainable land management as integral components of effective drought mitigation (Brown et al., 2021). Early warning systems leverage meteorological data and predictive models to provide timely alerts, enabling proactive responses to potential drought conditions. These systems play a crucial role in risk reduction by allowing communities and authorities to implement preparedness measures ahead of severe water shortages (Smith etc al.,2019). Sustainable land management practices aim to preserve soil health, reduce erosion, and enhance water retention. For example, agroforestry practices not only contribute to soil conservation but also create a buffer against the impacts of drought on agricultural lands (Garcia et al., 2023). By examining the intersection of technology-driven early warning systems and nature-based sustainable land management, our study aims to provide a nuanced understanding of their combined efficacy in mitigating the multifaceted challenges of water scarcity.</w:t>
      </w:r>
    </w:p>
    <w:p>
      <w:pPr>
        <w:pStyle w:val="style0"/>
        <w:spacing w:lineRule="auto" w:line="480"/>
        <w:rPr>
          <w:b/>
          <w:bCs/>
          <w:color w:val="auto"/>
          <w:sz w:val="24"/>
          <w:szCs w:val="24"/>
          <w:lang w:val="en-US"/>
        </w:rPr>
      </w:pPr>
      <w:r>
        <w:rPr>
          <w:b w:val="false"/>
          <w:bCs w:val="false"/>
          <w:color w:val="auto"/>
          <w:sz w:val="24"/>
          <w:szCs w:val="24"/>
          <w:lang w:val="en-US"/>
        </w:rPr>
        <w:t xml:space="preserve">                                        </w:t>
      </w:r>
      <w:r>
        <w:rPr>
          <w:b/>
          <w:bCs/>
          <w:color w:val="auto"/>
          <w:sz w:val="24"/>
          <w:szCs w:val="24"/>
          <w:lang w:val="en-US"/>
        </w:rPr>
        <w:t xml:space="preserve">  Community Engagement and Policy Integration</w:t>
      </w:r>
    </w:p>
    <w:p>
      <w:pPr>
        <w:pStyle w:val="style0"/>
        <w:spacing w:lineRule="auto" w:line="480"/>
        <w:jc w:val="left"/>
        <w:rPr>
          <w:b w:val="false"/>
          <w:bCs w:val="false"/>
          <w:color w:val="auto"/>
          <w:sz w:val="24"/>
          <w:szCs w:val="24"/>
          <w:lang w:val="en-US"/>
        </w:rPr>
      </w:pPr>
      <w:r>
        <w:rPr>
          <w:b w:val="false"/>
          <w:bCs w:val="false"/>
          <w:color w:val="auto"/>
          <w:sz w:val="24"/>
          <w:szCs w:val="24"/>
          <w:lang w:val="en-US"/>
        </w:rPr>
        <w:t xml:space="preserve">          A critical aspect of successful drought mitigation lies in community engagement and policy integration (Gaxiola et al,.2022). Research conducted by the International Institute for Sustainable Development highlights the importance of community engagement in drought preparedness and response efforts, as it fosters collective action and empowers individuals to contribute to long-term solutions" ( Sharma et al,.2021).Local communities play a crucial role in implementing and sustaining mitigation strategies, as their active participation ensures the effectiveness and relevance of initiatives. Through participatory approaches, such as community-based water management committees, individuals become stewards of their water resources, fostering a sense of ownership and responsibility (Jones et al., 2021). Concurrently, integrating well-defined policies at regional and national levels fosters a supportive framework for the adoption of sustainable practices. Policymakers need to consider the socio-economic contexts of communities, ensuring that policies align with local needs and realities .The National Drought Mitigation Center emphasizes the need for strong policy frameworks and effective governance in drought mitigation, including regular evaluation of policies to ensure their effectiveness" ( Kruger et al., 2023).This dual approach not only empowers communities to actively participate in water conservation but also establishes a regulatory foundation that promotes long-term resilience. By exploring the dynamics of community involvement and policy coherence, our study aims to shed light on the social and institutional dimensions that contribute to the success of drought mitigation efforts.</w:t>
      </w:r>
    </w:p>
    <w:p>
      <w:pPr>
        <w:pStyle w:val="style0"/>
        <w:spacing w:lineRule="auto" w:line="480"/>
        <w:jc w:val="left"/>
        <w:rPr>
          <w:b w:val="false"/>
          <w:bCs w:val="false"/>
          <w:color w:val="auto"/>
          <w:sz w:val="24"/>
          <w:szCs w:val="24"/>
          <w:lang w:val="en-US"/>
        </w:rPr>
      </w:pPr>
      <w:r>
        <w:rPr>
          <w:b w:val="false"/>
          <w:bCs w:val="false"/>
          <w:color w:val="auto"/>
          <w:sz w:val="24"/>
          <w:szCs w:val="24"/>
          <w:lang w:val="en-US"/>
        </w:rPr>
        <w:t xml:space="preserve">          In conclusion, Drought, intensified by human activities, poses a significant threat to communities, agriculture, and the environment. To ensure a sustainable future, implementation of effective strategies to mitigate its impacts and protect our resources is a crucial requirement. Water conservation plays a vital role in managing limited water supply efficiently. Sustainable land management practices, like soil conservation and reforestation, enhance resilience to drought and preserve ecosystems. Engaging communities in drought preparedness fosters collective action for long-term solutions.</w:t>
      </w:r>
    </w:p>
    <w:p>
      <w:pPr>
        <w:pStyle w:val="style0"/>
        <w:spacing w:lineRule="auto" w:line="480"/>
        <w:jc w:val="left"/>
        <w:rPr>
          <w:b/>
          <w:bCs/>
          <w:color w:val="auto"/>
          <w:sz w:val="24"/>
          <w:szCs w:val="24"/>
          <w:lang w:val="en-US"/>
        </w:rPr>
      </w:pPr>
      <w:r>
        <w:rPr>
          <w:b w:val="false"/>
          <w:bCs w:val="false"/>
          <w:color w:val="auto"/>
          <w:sz w:val="24"/>
          <w:szCs w:val="24"/>
          <w:lang w:val="en-US"/>
        </w:rPr>
        <w:br w:type="page"/>
      </w:r>
      <w:r>
        <w:rPr>
          <w:b w:val="false"/>
          <w:bCs w:val="false"/>
          <w:color w:val="auto"/>
          <w:sz w:val="24"/>
          <w:szCs w:val="24"/>
          <w:lang w:val="en-US"/>
        </w:rPr>
        <w:t xml:space="preserve">                                           </w:t>
      </w:r>
      <w:r>
        <w:rPr>
          <w:b/>
          <w:bCs/>
          <w:color w:val="auto"/>
          <w:sz w:val="24"/>
          <w:szCs w:val="24"/>
          <w:lang w:val="en-US"/>
        </w:rPr>
        <w:t xml:space="preserve"> References </w:t>
      </w:r>
    </w:p>
    <w:p>
      <w:pPr>
        <w:pStyle w:val="style0"/>
        <w:spacing w:lineRule="auto" w:line="480"/>
        <w:rPr>
          <w:b w:val="false"/>
          <w:bCs w:val="false"/>
          <w:i/>
          <w:iCs/>
          <w:color w:val="auto"/>
          <w:sz w:val="24"/>
          <w:szCs w:val="24"/>
          <w:lang w:val="en-US"/>
        </w:rPr>
      </w:pPr>
      <w:r>
        <w:rPr>
          <w:b w:val="false"/>
          <w:bCs w:val="false"/>
          <w:i/>
          <w:iCs/>
          <w:color w:val="auto"/>
          <w:sz w:val="24"/>
          <w:szCs w:val="24"/>
          <w:lang w:val="en-US"/>
        </w:rPr>
        <w:t>Ali Montazar, Oli Bachie, Dennis Corwin, Daniel Putnam Agronomy 10 (11), 1640, 2020</w:t>
      </w:r>
    </w:p>
    <w:p>
      <w:pPr>
        <w:pStyle w:val="style0"/>
        <w:spacing w:lineRule="auto" w:line="480"/>
        <w:rPr>
          <w:b w:val="false"/>
          <w:bCs w:val="false"/>
          <w:i/>
          <w:iCs/>
          <w:color w:val="auto"/>
          <w:sz w:val="24"/>
          <w:szCs w:val="24"/>
          <w:lang w:val="en-US"/>
        </w:rPr>
      </w:pPr>
      <w:r>
        <w:rPr>
          <w:b w:val="false"/>
          <w:bCs w:val="false"/>
          <w:i/>
          <w:iCs/>
          <w:color w:val="auto"/>
          <w:sz w:val="24"/>
          <w:szCs w:val="24"/>
          <w:lang w:val="en-US"/>
        </w:rPr>
        <w:t>Calum Brown, Ian Holman, Mark Rounsevell Earth System Dynamics 12 (1), 211-231, 2021</w:t>
      </w:r>
    </w:p>
    <w:p>
      <w:pPr>
        <w:pStyle w:val="style0"/>
        <w:spacing w:lineRule="auto" w:line="480"/>
        <w:rPr>
          <w:b w:val="false"/>
          <w:bCs w:val="false"/>
          <w:i/>
          <w:iCs/>
          <w:color w:val="auto"/>
          <w:sz w:val="24"/>
          <w:szCs w:val="24"/>
          <w:lang w:val="en-US"/>
        </w:rPr>
      </w:pPr>
      <w:r>
        <w:rPr>
          <w:b w:val="false"/>
          <w:bCs w:val="false"/>
          <w:i/>
          <w:iCs/>
          <w:color w:val="auto"/>
          <w:sz w:val="24"/>
          <w:szCs w:val="24"/>
          <w:lang w:val="en-US"/>
        </w:rPr>
        <w:t>Hari Bhakta Sharma, Kumar Raja Vanapalli, Biswajit Samal, Science of The Total       Environment 800, 149605, 2021</w:t>
      </w:r>
    </w:p>
    <w:p>
      <w:pPr>
        <w:pStyle w:val="style0"/>
        <w:spacing w:lineRule="auto" w:line="480"/>
        <w:rPr>
          <w:b w:val="false"/>
          <w:bCs w:val="false"/>
          <w:i/>
          <w:iCs/>
          <w:color w:val="auto"/>
          <w:sz w:val="24"/>
          <w:szCs w:val="24"/>
          <w:lang w:val="en-US"/>
        </w:rPr>
      </w:pPr>
      <w:r>
        <w:rPr>
          <w:b w:val="false"/>
          <w:bCs w:val="false"/>
          <w:i/>
          <w:iCs/>
          <w:color w:val="auto"/>
          <w:sz w:val="24"/>
          <w:szCs w:val="24"/>
          <w:lang w:val="en-US"/>
        </w:rPr>
        <w:t>Eupha Jeanne Daramola, Julie A Marsh, Taylor N Allbright Leadership and Policy in Schools 22 (3), 787-810, 2023</w:t>
      </w:r>
    </w:p>
    <w:p>
      <w:pPr>
        <w:pStyle w:val="style0"/>
        <w:spacing w:lineRule="auto" w:line="480"/>
        <w:rPr>
          <w:b w:val="false"/>
          <w:bCs w:val="false"/>
          <w:i/>
          <w:iCs/>
          <w:color w:val="auto"/>
          <w:sz w:val="24"/>
          <w:szCs w:val="24"/>
          <w:lang w:val="en-US"/>
        </w:rPr>
      </w:pPr>
      <w:r>
        <w:rPr>
          <w:b w:val="false"/>
          <w:bCs w:val="false"/>
          <w:i/>
          <w:iCs/>
          <w:color w:val="auto"/>
          <w:sz w:val="24"/>
          <w:szCs w:val="24"/>
          <w:lang w:val="en-US"/>
        </w:rPr>
        <w:t>Haoying Wang ,Water Policy 21 (4), 768-786, 2019</w:t>
      </w:r>
    </w:p>
    <w:p>
      <w:pPr>
        <w:pStyle w:val="style0"/>
        <w:spacing w:lineRule="auto" w:line="480"/>
        <w:rPr>
          <w:b w:val="false"/>
          <w:bCs w:val="false"/>
          <w:i/>
          <w:iCs/>
          <w:color w:val="auto"/>
          <w:sz w:val="24"/>
          <w:szCs w:val="24"/>
          <w:lang w:val="en-US"/>
        </w:rPr>
      </w:pPr>
      <w:r>
        <w:rPr>
          <w:b w:val="false"/>
          <w:bCs w:val="false"/>
          <w:i/>
          <w:iCs/>
          <w:color w:val="auto"/>
          <w:sz w:val="24"/>
          <w:szCs w:val="24"/>
          <w:lang w:val="en-US"/>
        </w:rPr>
        <w:t>Leandri Kruger, Luke A Sandham, Dewald van Niekerk Sustainable Development, 2023</w:t>
      </w:r>
    </w:p>
    <w:p>
      <w:pPr>
        <w:pStyle w:val="style0"/>
        <w:spacing w:lineRule="auto" w:line="480"/>
        <w:rPr>
          <w:b w:val="false"/>
          <w:bCs w:val="false"/>
          <w:i/>
          <w:iCs/>
          <w:color w:val="auto"/>
          <w:sz w:val="24"/>
          <w:szCs w:val="24"/>
          <w:lang w:val="en-US"/>
        </w:rPr>
      </w:pPr>
      <w:r>
        <w:rPr>
          <w:b w:val="false"/>
          <w:bCs w:val="false"/>
          <w:i/>
          <w:iCs/>
          <w:color w:val="auto"/>
          <w:sz w:val="24"/>
          <w:szCs w:val="24"/>
          <w:lang w:val="en-US"/>
        </w:rPr>
        <w:t>Pete Smith, Justin Adams, David J Beerling, Tim Beringer, Saskia Keesstra Annual Review of Environment and Resources 44, 255-286, 2019</w:t>
      </w:r>
    </w:p>
    <w:p>
      <w:pPr>
        <w:pStyle w:val="style0"/>
        <w:spacing w:lineRule="auto" w:line="480"/>
        <w:rPr>
          <w:b w:val="false"/>
          <w:bCs w:val="false"/>
          <w:i/>
          <w:iCs/>
          <w:color w:val="auto"/>
          <w:sz w:val="24"/>
          <w:szCs w:val="24"/>
          <w:lang w:val="en-US"/>
        </w:rPr>
      </w:pPr>
      <w:r>
        <w:rPr>
          <w:b w:val="false"/>
          <w:bCs w:val="false"/>
          <w:i/>
          <w:iCs/>
          <w:color w:val="auto"/>
          <w:sz w:val="24"/>
          <w:szCs w:val="24"/>
          <w:lang w:val="en-US"/>
        </w:rPr>
        <w:t>Pouya Vahmani, Andrew D Jones Nature communications 8 (1), 1072, 2017</w:t>
      </w:r>
    </w:p>
    <w:p>
      <w:pPr>
        <w:pStyle w:val="style0"/>
        <w:spacing w:lineRule="auto" w:line="480"/>
        <w:rPr>
          <w:b w:val="false"/>
          <w:bCs w:val="false"/>
          <w:i/>
          <w:iCs/>
          <w:color w:val="auto"/>
          <w:sz w:val="24"/>
          <w:szCs w:val="24"/>
          <w:lang w:val="en-US"/>
        </w:rPr>
      </w:pPr>
      <w:r>
        <w:rPr>
          <w:b w:val="false"/>
          <w:bCs w:val="false"/>
          <w:i/>
          <w:iCs/>
          <w:color w:val="auto"/>
          <w:sz w:val="24"/>
          <w:szCs w:val="24"/>
          <w:lang w:val="en-US"/>
        </w:rPr>
        <w:t>Sergio Aguilar-Gaxiola, Syed M Ahmed, Ayodola Anise, Atum Azzah John M Westfall, Asia Williams, Richard Zaldivar NAM perspectives 2022, 2022</w:t>
      </w:r>
    </w:p>
    <w:p>
      <w:pPr>
        <w:pStyle w:val="style0"/>
        <w:spacing w:lineRule="auto" w:line="480"/>
        <w:rPr>
          <w:b w:val="false"/>
          <w:bCs w:val="false"/>
          <w:i/>
          <w:iCs/>
          <w:color w:val="auto"/>
          <w:sz w:val="24"/>
          <w:szCs w:val="24"/>
          <w:lang w:val="en-US"/>
        </w:rPr>
      </w:pPr>
      <w:r>
        <w:rPr>
          <w:b w:val="false"/>
          <w:bCs w:val="false"/>
          <w:i/>
          <w:iCs/>
          <w:color w:val="auto"/>
          <w:sz w:val="24"/>
          <w:szCs w:val="24"/>
          <w:lang w:val="en-US"/>
        </w:rPr>
        <w:t>S Sarvade, VB Upadhyay, Manish Kuar, Mohammad Imran Khan Sustainable Agriculture, Forest and Environmental Management, 133-188, 2019</w:t>
      </w:r>
    </w:p>
    <w:p>
      <w:pPr>
        <w:pStyle w:val="style0"/>
        <w:spacing w:lineRule="auto" w:line="480"/>
        <w:rPr>
          <w:b w:val="false"/>
          <w:bCs w:val="false"/>
          <w:i/>
          <w:iCs/>
          <w:color w:val="auto"/>
          <w:sz w:val="24"/>
          <w:szCs w:val="24"/>
          <w:lang w:val="en-US"/>
        </w:rPr>
      </w:pPr>
      <w:r>
        <w:rPr>
          <w:b w:val="false"/>
          <w:bCs w:val="false"/>
          <w:i/>
          <w:iCs/>
          <w:color w:val="auto"/>
          <w:sz w:val="24"/>
          <w:szCs w:val="24"/>
          <w:lang w:val="en-US"/>
        </w:rPr>
        <w:t>Sol Ortiz‐García, Mariano Torres‐Gómez, Adalberto Benavides European Journal of Soil Science 74 (5), e13395, 2023</w:t>
      </w:r>
    </w:p>
    <w:p>
      <w:pPr>
        <w:pStyle w:val="style0"/>
        <w:spacing w:lineRule="auto" w:line="480"/>
        <w:rPr>
          <w:b w:val="false"/>
          <w:bCs w:val="false"/>
          <w:i/>
          <w:iCs/>
          <w:color w:val="auto"/>
          <w:sz w:val="24"/>
          <w:szCs w:val="24"/>
          <w:lang w:val="en-US"/>
        </w:rPr>
      </w:pPr>
      <w:r>
        <w:rPr>
          <w:b w:val="false"/>
          <w:bCs w:val="false"/>
          <w:i/>
          <w:iCs/>
          <w:color w:val="auto"/>
          <w:sz w:val="24"/>
          <w:szCs w:val="24"/>
          <w:lang w:val="en-US"/>
        </w:rPr>
        <w:t>World Bank Group World Bank, 2018</w:t>
      </w:r>
    </w:p>
    <w:p>
      <w:pPr>
        <w:pStyle w:val="style0"/>
        <w:spacing w:lineRule="auto" w:line="480"/>
        <w:rPr>
          <w:b w:val="false"/>
          <w:bCs w:val="false"/>
          <w:color w:val="auto"/>
          <w:sz w:val="24"/>
          <w:szCs w:val="24"/>
          <w:lang w:val="en-US"/>
        </w:rPr>
      </w:pPr>
    </w:p>
    <w:p>
      <w:pPr>
        <w:pStyle w:val="style0"/>
        <w:spacing w:lineRule="auto" w:line="480"/>
        <w:ind w:left="440" w:leftChars="0"/>
        <w:jc w:val="both"/>
        <w:rPr>
          <w:b/>
          <w:bCs/>
          <w:color w:val="auto"/>
        </w:rPr>
      </w:pPr>
    </w:p>
    <w:p>
      <w:pPr>
        <w:pStyle w:val="style0"/>
        <w:spacing w:lineRule="auto" w:line="480"/>
        <w:jc w:val="left"/>
        <w:rPr>
          <w:b w:val="false"/>
          <w:bCs w:val="false"/>
          <w:color w:val="auto"/>
          <w:sz w:val="24"/>
          <w:szCs w:val="24"/>
          <w:lang w:val="en-US"/>
        </w:rPr>
      </w:pPr>
    </w:p>
    <w:p>
      <w:pPr>
        <w:pStyle w:val="style0"/>
        <w:spacing w:lineRule="auto" w:line="480"/>
        <w:rPr>
          <w:b/>
          <w:bCs/>
          <w:color w:val="auto"/>
          <w:sz w:val="24"/>
          <w:szCs w:val="24"/>
          <w:lang w:val="en-US"/>
        </w:rPr>
      </w:pPr>
      <w:r>
        <w:rPr>
          <w:b w:val="false"/>
          <w:bCs w:val="false"/>
          <w:color w:val="auto"/>
          <w:sz w:val="24"/>
          <w:szCs w:val="24"/>
          <w:lang w:val="en-US"/>
        </w:rPr>
        <w:t xml:space="preserve">            </w:t>
      </w:r>
    </w:p>
    <w:p>
      <w:pPr>
        <w:pStyle w:val="style0"/>
        <w:spacing w:lineRule="auto" w:line="480"/>
        <w:rPr>
          <w:b w:val="false"/>
          <w:bCs w:val="false"/>
          <w:sz w:val="24"/>
          <w:szCs w:val="24"/>
        </w:rPr>
      </w:pPr>
    </w:p>
    <w:p>
      <w:pPr>
        <w:pStyle w:val="style0"/>
        <w:spacing w:lineRule="auto" w:line="480"/>
        <w:rPr>
          <w:b w:val="false"/>
          <w:bCs w:val="false"/>
          <w:sz w:val="24"/>
          <w:szCs w:val="24"/>
        </w:rPr>
      </w:pPr>
    </w:p>
    <w:p>
      <w:pPr>
        <w:pStyle w:val="style0"/>
        <w:spacing w:lineRule="auto" w:line="480"/>
        <w:rPr>
          <w:b w:val="false"/>
          <w:bCs w:val="false"/>
          <w:sz w:val="24"/>
          <w:szCs w:val="24"/>
        </w:rPr>
      </w:pPr>
    </w:p>
    <w:p>
      <w:pPr>
        <w:pStyle w:val="style0"/>
        <w:spacing w:lineRule="auto" w:line="480"/>
        <w:rPr>
          <w:b w:val="false"/>
          <w:bCs w:val="false"/>
          <w:sz w:val="24"/>
          <w:szCs w:val="24"/>
        </w:rPr>
      </w:pPr>
    </w:p>
    <w:p>
      <w:pPr>
        <w:pStyle w:val="style0"/>
        <w:spacing w:lineRule="auto" w:line="480"/>
        <w:rPr>
          <w:b w:val="false"/>
          <w:bCs w:val="false"/>
          <w:sz w:val="24"/>
          <w:szCs w:val="24"/>
        </w:rPr>
      </w:pPr>
    </w:p>
    <w:p>
      <w:pPr>
        <w:pStyle w:val="style0"/>
        <w:spacing w:lineRule="auto" w:line="480"/>
        <w:rPr>
          <w:b w:val="false"/>
          <w:bCs w:val="false"/>
          <w:sz w:val="24"/>
          <w:szCs w:val="24"/>
        </w:rPr>
      </w:pPr>
    </w:p>
    <w:p>
      <w:pPr>
        <w:pStyle w:val="style0"/>
        <w:spacing w:lineRule="auto" w:line="480"/>
        <w:rPr>
          <w:b w:val="false"/>
          <w:bCs w:val="false"/>
          <w:sz w:val="24"/>
          <w:szCs w:val="24"/>
          <w:lang w:val="en-US"/>
        </w:rPr>
      </w:pPr>
    </w:p>
    <w:p>
      <w:pPr>
        <w:pStyle w:val="style0"/>
        <w:spacing w:lineRule="auto" w:line="480"/>
        <w:rPr>
          <w:b w:val="false"/>
          <w:bCs w:val="false"/>
          <w:sz w:val="24"/>
          <w:szCs w:val="24"/>
          <w:lang w:val="en-US"/>
        </w:rPr>
      </w:pPr>
      <w:r>
        <w:rPr>
          <w:b w:val="false"/>
          <w:bCs w:val="false"/>
          <w:sz w:val="24"/>
          <w:szCs w:val="24"/>
          <w:lang w:val="en-US"/>
        </w:rPr>
        <w:t xml:space="preserve">       </w:t>
      </w:r>
    </w:p>
    <w:p>
      <w:pPr>
        <w:pStyle w:val="style0"/>
        <w:spacing w:lineRule="auto" w:line="480"/>
        <w:rPr>
          <w:b w:val="false"/>
          <w:bCs w:val="false"/>
          <w:sz w:val="24"/>
          <w:szCs w:val="24"/>
        </w:rPr>
      </w:pPr>
    </w:p>
    <w:sectPr>
      <w:headerReference w:type="default" r:id="rId2"/>
      <w:footerReference w:type="default" r:id="rId3"/>
      <w:pgSz w:w="12240" w:h="15840" w:orient="portrait"/>
      <w:pgMar w:top="1440" w:right="1440" w:bottom="1440" w:left="1440" w:header="720" w:footer="720" w:gutter="0"/>
      <w:pgNumType w:fmt="decimal" w:start="1"/>
      <w:cols w:space="720" w:num="1"/>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0030204"/>
    <w:charset w:val="00"/>
    <w:family w:val="swiss"/>
    <w:pitch w:val="variable"/>
    <w:sig w:usb0="E4002EFF" w:usb1="C000247B" w:usb2="00000009" w:usb3="00000000" w:csb0="000001FF" w:csb1="00000000"/>
  </w:font>
  <w:font w:name="宋体">
    <w:altName w:val="SimSun"/>
    <w:panose1 w:val="02010600030000010101"/>
    <w:charset w:val="86"/>
    <w:family w:val="auto"/>
    <w:pitch w:val="variable"/>
    <w:sig w:usb0="00000003" w:usb1="288F0000" w:usb2="00000016" w:usb3="00000000" w:csb0="00040001" w:csb1="00000000"/>
  </w:font>
  <w:font w:name="Times New Roman">
    <w:altName w:val="Times New Roman"/>
    <w:panose1 w:val="02020603050000020304"/>
    <w:charset w:val="00"/>
    <w:family w:val="roman"/>
    <w:pitch w:val="variable"/>
    <w:sig w:usb0="E0002EFF" w:usb1="C000785B" w:usb2="00000009" w:usb3="00000000" w:csb0="000001FF" w:csb1="00000000"/>
  </w:font>
  <w:font w:name="等线 Light">
    <w:altName w:val="等线 Light"/>
    <w:panose1 w:val="02010600030000010101"/>
    <w:charset w:val="86"/>
    <w:family w:val="auto"/>
    <w:pitch w:val="variable"/>
    <w:sig w:usb0="A00002BF" w:usb1="38CF7CFA" w:usb2="00000016" w:usb3="00000000" w:csb0="0004000F" w:csb1="00000000"/>
  </w:font>
  <w:font w:name="等线">
    <w:altName w:val="DengXian"/>
    <w:panose1 w:val="02010600030000010101"/>
    <w:charset w:val="86"/>
    <w:family w:val="auto"/>
    <w:pitch w:val="variable"/>
    <w:sig w:usb0="A00002BF" w:usb1="38CF7CFA" w:usb2="00000016" w:usb3="00000000" w:csb0="0004000F" w:csb1="00000000"/>
  </w:font>
</w:fonts>
</file>

<file path=word/footer2.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0"/>
      <w:jc w:val="center"/>
      <w:rPr/>
    </w:pPr>
  </w:p>
</w:ftr>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1"/>
      <w:jc w:val="right"/>
      <w:rPr/>
    </w:pPr>
    <w:r>
      <w:rPr/>
      <w:fldChar w:fldCharType="begin"/>
    </w:r>
    <w:r>
      <w:instrText>PAGE</w:instrText>
    </w:r>
    <w:r>
      <w:rPr/>
      <w:fldChar w:fldCharType="separate"/>
    </w:r>
    <w:r>
      <w:t>1</w:t>
    </w:r>
    <w: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sz w:val="22"/>
      <w:szCs w:val="22"/>
    </w:rPr>
  </w:style>
  <w:style w:type="character" w:default="1" w:styleId="style65">
    <w:name w:val="Default Paragraph Font"/>
    <w:next w:val="style65"/>
    <w:rPr>
      <w:rFonts w:ascii="Calibri" w:cs="Times New Roman" w:eastAsia="宋体" w:hAnsi="Calibri"/>
    </w:rPr>
  </w:style>
  <w:style w:type="table" w:default="1" w:styleId="style105">
    <w:name w:val="Normal Table"/>
    <w:next w:val="style105"/>
    <w:pPr/>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 w:type="paragraph" w:styleId="style31">
    <w:name w:val="header"/>
    <w:basedOn w:val="style0"/>
    <w:next w:val="style31"/>
    <w:link w:val="style4097"/>
    <w:uiPriority w:val="99"/>
    <w:pPr>
      <w:tabs>
        <w:tab w:val="center" w:leader="none" w:pos="4320"/>
        <w:tab w:val="right" w:leader="none" w:pos="8640"/>
      </w:tabs>
      <w:spacing w:after="0" w:lineRule="auto" w:line="240"/>
    </w:pPr>
    <w:rPr/>
  </w:style>
  <w:style w:type="character" w:customStyle="1" w:styleId="style4097">
    <w:name w:val="Header Char_33f6a239-0942-40de-be49-d5d0d3e351d6"/>
    <w:basedOn w:val="style65"/>
    <w:next w:val="style4097"/>
    <w:link w:val="style31"/>
    <w:uiPriority w:val="99"/>
  </w:style>
  <w:style w:type="paragraph" w:styleId="style179">
    <w:name w:val="List Paragraph"/>
    <w:basedOn w:val="style0"/>
    <w:next w:val="style179"/>
    <w:qFormat/>
    <w:uiPriority w:val="34"/>
    <w:pPr>
      <w:ind w:left="720"/>
      <w:contextualSpacing/>
    </w:pPr>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header" Target="head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Words>929</Words>
  <Characters>5952</Characters>
  <Application>WPS Office</Application>
  <Paragraphs>49</Paragraphs>
  <CharactersWithSpaces>7492</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2024-02-12T16:56:09Z</dcterms:created>
  <dc:creator>22120RN86G</dc:creator>
  <lastModifiedBy>22120RN86G</lastModifiedBy>
  <dcterms:modified xsi:type="dcterms:W3CDTF">2024-02-13T15:52:12Z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2bec74fee8cc46e9bb59e9cd84759640</vt:lpwstr>
  </property>
</Properties>
</file>