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7E88" w14:textId="77777777" w:rsidR="00F35C4A" w:rsidRDefault="00F35C4A" w:rsidP="00F35C4A">
      <w:pPr>
        <w:jc w:val="center"/>
      </w:pPr>
    </w:p>
    <w:p w14:paraId="13FAE002" w14:textId="77777777" w:rsidR="00F35C4A" w:rsidRDefault="00F35C4A" w:rsidP="00F35C4A">
      <w:pPr>
        <w:jc w:val="center"/>
      </w:pPr>
    </w:p>
    <w:p w14:paraId="1282331D" w14:textId="77777777" w:rsidR="001348D6" w:rsidRPr="001348D6" w:rsidRDefault="001348D6" w:rsidP="00F35C4A">
      <w:pPr>
        <w:jc w:val="center"/>
        <w:rPr>
          <w:b/>
          <w:bCs/>
        </w:rPr>
      </w:pPr>
      <w:r w:rsidRPr="001348D6">
        <w:rPr>
          <w:b/>
          <w:bCs/>
        </w:rPr>
        <w:t>Physics-Mechanics</w:t>
      </w:r>
    </w:p>
    <w:p w14:paraId="2E68DA6F" w14:textId="77777777" w:rsidR="001348D6" w:rsidRDefault="001348D6" w:rsidP="00F35C4A">
      <w:pPr>
        <w:jc w:val="center"/>
      </w:pPr>
    </w:p>
    <w:p w14:paraId="55A9AD59" w14:textId="77777777" w:rsidR="001348D6" w:rsidRDefault="001348D6" w:rsidP="00F35C4A">
      <w:pPr>
        <w:jc w:val="center"/>
      </w:pPr>
      <w:r>
        <w:t>Name</w:t>
      </w:r>
    </w:p>
    <w:p w14:paraId="259719D3" w14:textId="77777777" w:rsidR="001348D6" w:rsidRDefault="001348D6" w:rsidP="00F35C4A">
      <w:pPr>
        <w:jc w:val="center"/>
      </w:pPr>
      <w:r>
        <w:t>Course code</w:t>
      </w:r>
    </w:p>
    <w:p w14:paraId="1B29D562" w14:textId="77777777" w:rsidR="001348D6" w:rsidRDefault="001348D6" w:rsidP="00F35C4A">
      <w:pPr>
        <w:jc w:val="center"/>
      </w:pPr>
      <w:r>
        <w:t>Lecturer</w:t>
      </w:r>
    </w:p>
    <w:p w14:paraId="4DFAA76B" w14:textId="1C1CC0F4" w:rsidR="00F35C4A" w:rsidRDefault="001348D6" w:rsidP="00F35C4A">
      <w:pPr>
        <w:jc w:val="center"/>
      </w:pPr>
      <w:r>
        <w:t>June 6, 2023</w:t>
      </w:r>
      <w:r w:rsidR="00F35C4A">
        <w:br w:type="page"/>
      </w:r>
    </w:p>
    <w:p w14:paraId="598F96FD" w14:textId="2F79E4EF" w:rsidR="001348D6" w:rsidRPr="001348D6" w:rsidRDefault="001348D6" w:rsidP="001348D6">
      <w:pPr>
        <w:spacing w:after="0" w:line="480" w:lineRule="auto"/>
        <w:jc w:val="center"/>
        <w:rPr>
          <w:b/>
          <w:bCs/>
        </w:rPr>
      </w:pPr>
      <w:r w:rsidRPr="001348D6">
        <w:rPr>
          <w:b/>
          <w:bCs/>
        </w:rPr>
        <w:lastRenderedPageBreak/>
        <w:t>Physics-Mechanics</w:t>
      </w:r>
    </w:p>
    <w:p w14:paraId="61EA7A6C" w14:textId="16230BFD" w:rsidR="00DE4C57" w:rsidRDefault="00DE4C57" w:rsidP="00F35C4A">
      <w:pPr>
        <w:spacing w:after="0" w:line="480" w:lineRule="auto"/>
      </w:pPr>
      <w:r>
        <w:t>Major Elements of Informed Con</w:t>
      </w:r>
      <w:r w:rsidR="00F35C4A">
        <w:t>s</w:t>
      </w:r>
      <w:r>
        <w:t>ent</w:t>
      </w:r>
    </w:p>
    <w:p w14:paraId="7703F338" w14:textId="1A6E88E6" w:rsidR="0012614C" w:rsidRDefault="0012614C" w:rsidP="00CF31E5">
      <w:pPr>
        <w:spacing w:after="0" w:line="480" w:lineRule="auto"/>
        <w:ind w:firstLine="720"/>
      </w:pPr>
      <w:r>
        <w:t>Informed consent is a fundamental ethical principle in various fields such as medicine, research and law</w:t>
      </w:r>
      <w:r w:rsidR="00C326E9" w:rsidRPr="00C326E9">
        <w:t xml:space="preserve"> </w:t>
      </w:r>
      <w:r w:rsidR="00C326E9" w:rsidRPr="00C326E9">
        <w:t>(</w:t>
      </w:r>
      <w:proofErr w:type="spellStart"/>
      <w:r w:rsidR="00C326E9" w:rsidRPr="00C326E9">
        <w:t>Gossman</w:t>
      </w:r>
      <w:proofErr w:type="spellEnd"/>
      <w:r w:rsidR="00C326E9" w:rsidRPr="00C326E9">
        <w:t xml:space="preserve"> et al., 2022)</w:t>
      </w:r>
      <w:r>
        <w:t xml:space="preserve">. This ensures that people have the information they need to make independent and informed decisions about participating in specific activities and treatments. </w:t>
      </w:r>
      <w:r w:rsidR="00EB46AD" w:rsidRPr="00EB46AD">
        <w:t xml:space="preserve">It is important to note that the specific </w:t>
      </w:r>
      <w:r w:rsidR="00902EEC">
        <w:t xml:space="preserve">requirements </w:t>
      </w:r>
      <w:r w:rsidR="00EB46AD" w:rsidRPr="00EB46AD">
        <w:t>for informed consent may</w:t>
      </w:r>
      <w:r w:rsidR="00902EEC">
        <w:t xml:space="preserve"> differ</w:t>
      </w:r>
      <w:r w:rsidR="00EB46AD" w:rsidRPr="00EB46AD">
        <w:t xml:space="preserve"> depending on the </w:t>
      </w:r>
      <w:r w:rsidR="00902EEC">
        <w:t xml:space="preserve">jurisdiction </w:t>
      </w:r>
      <w:r w:rsidR="00EB46AD" w:rsidRPr="00EB46AD">
        <w:t>and the specific circumstances in which it is sought. Legal and ethical guidelines provide details and considerations for obtaining informed consent in various contexts</w:t>
      </w:r>
      <w:r w:rsidR="00EB46AD">
        <w:t xml:space="preserve">. </w:t>
      </w:r>
      <w:r>
        <w:t>Key elements of informed consent typically include:</w:t>
      </w:r>
    </w:p>
    <w:p w14:paraId="23F0BD14" w14:textId="77777777" w:rsidR="00CF31E5" w:rsidRDefault="00AD31F7" w:rsidP="00CF31E5">
      <w:pPr>
        <w:spacing w:after="0" w:line="480" w:lineRule="auto"/>
        <w:ind w:firstLine="720"/>
      </w:pPr>
      <w:r>
        <w:t xml:space="preserve">Firstly, </w:t>
      </w:r>
      <w:r w:rsidRPr="00AD31F7">
        <w:rPr>
          <w:i/>
          <w:iCs/>
        </w:rPr>
        <w:t>v</w:t>
      </w:r>
      <w:r w:rsidR="001D3DEF" w:rsidRPr="00AD31F7">
        <w:rPr>
          <w:i/>
          <w:iCs/>
        </w:rPr>
        <w:t>oluntary participation</w:t>
      </w:r>
      <w:r>
        <w:t>,</w:t>
      </w:r>
      <w:r w:rsidR="00902EEC">
        <w:t xml:space="preserve"> which means</w:t>
      </w:r>
      <w:r w:rsidR="001D3DEF" w:rsidRPr="001D3DEF">
        <w:t xml:space="preserve"> </w:t>
      </w:r>
      <w:r w:rsidR="00902EEC">
        <w:t>that i</w:t>
      </w:r>
      <w:r w:rsidR="001D3DEF" w:rsidRPr="001D3DEF">
        <w:t xml:space="preserve">nformed consent requires that individuals give their consent voluntarily, without coercion, </w:t>
      </w:r>
      <w:r w:rsidR="001D3DEF">
        <w:t>pressure</w:t>
      </w:r>
      <w:r w:rsidR="001D3DEF" w:rsidRPr="001D3DEF">
        <w:t xml:space="preserve"> or undue influence from others. They should </w:t>
      </w:r>
      <w:r w:rsidR="001D3DEF">
        <w:t xml:space="preserve">be </w:t>
      </w:r>
      <w:r w:rsidR="001D3DEF" w:rsidRPr="001D3DEF">
        <w:t>freed to choose whether or not t</w:t>
      </w:r>
      <w:r w:rsidR="001D3DEF">
        <w:t>hey want to</w:t>
      </w:r>
      <w:r w:rsidR="001D3DEF" w:rsidRPr="001D3DEF">
        <w:t xml:space="preserve"> participate without facing the negative consequences of their decisions</w:t>
      </w:r>
      <w:r w:rsidR="00C326E9">
        <w:t xml:space="preserve"> </w:t>
      </w:r>
      <w:r w:rsidR="00C326E9" w:rsidRPr="00C326E9">
        <w:t>(Bhandari, 2021)</w:t>
      </w:r>
      <w:r w:rsidR="001D3DEF" w:rsidRPr="001D3DEF">
        <w:t>.</w:t>
      </w:r>
      <w:r w:rsidR="00902EEC">
        <w:t xml:space="preserve"> Secondly, </w:t>
      </w:r>
      <w:r w:rsidR="00902EEC" w:rsidRPr="00AD31F7">
        <w:rPr>
          <w:i/>
          <w:iCs/>
        </w:rPr>
        <w:t>c</w:t>
      </w:r>
      <w:r w:rsidR="002744BA" w:rsidRPr="00AD31F7">
        <w:rPr>
          <w:i/>
          <w:iCs/>
        </w:rPr>
        <w:t>apacity to consent</w:t>
      </w:r>
      <w:r>
        <w:t xml:space="preserve"> is </w:t>
      </w:r>
      <w:r w:rsidR="00902EEC">
        <w:t>where i</w:t>
      </w:r>
      <w:r w:rsidR="002744BA" w:rsidRPr="002744BA">
        <w:t xml:space="preserve">ndividuals must have the cognitive and legal capacity to understand relevant information, </w:t>
      </w:r>
      <w:r w:rsidR="002744BA">
        <w:t>understand the consequences of their decisions</w:t>
      </w:r>
      <w:r w:rsidR="002744BA" w:rsidRPr="002744BA">
        <w:t xml:space="preserve">, and communicate their choices. </w:t>
      </w:r>
      <w:r w:rsidR="002744BA">
        <w:t xml:space="preserve">Ability depends on factors </w:t>
      </w:r>
      <w:r w:rsidR="002744BA" w:rsidRPr="002744BA">
        <w:t>such as</w:t>
      </w:r>
      <w:r w:rsidR="002744BA">
        <w:t xml:space="preserve"> </w:t>
      </w:r>
      <w:r w:rsidR="002744BA" w:rsidRPr="002744BA">
        <w:t>mental health</w:t>
      </w:r>
      <w:r w:rsidR="002744BA">
        <w:t xml:space="preserve">, </w:t>
      </w:r>
      <w:r w:rsidR="002744BA" w:rsidRPr="002744BA">
        <w:t>age</w:t>
      </w:r>
      <w:r w:rsidR="002744BA">
        <w:t xml:space="preserve"> </w:t>
      </w:r>
      <w:r w:rsidR="002744BA" w:rsidRPr="002744BA">
        <w:t>and cognitive abilities.</w:t>
      </w:r>
      <w:r w:rsidR="00902EEC">
        <w:t xml:space="preserve"> </w:t>
      </w:r>
      <w:r>
        <w:t>Thirdly</w:t>
      </w:r>
      <w:r w:rsidR="00902EEC">
        <w:t xml:space="preserve">, </w:t>
      </w:r>
      <w:r w:rsidR="00902EEC" w:rsidRPr="00AD31F7">
        <w:rPr>
          <w:i/>
          <w:iCs/>
        </w:rPr>
        <w:t>d</w:t>
      </w:r>
      <w:r w:rsidR="0012614C" w:rsidRPr="00AD31F7">
        <w:rPr>
          <w:i/>
          <w:iCs/>
        </w:rPr>
        <w:t>isclosure</w:t>
      </w:r>
      <w:r>
        <w:t xml:space="preserve"> dictates</w:t>
      </w:r>
      <w:r w:rsidR="00902EEC">
        <w:t xml:space="preserve"> that c</w:t>
      </w:r>
      <w:r w:rsidR="0012614C">
        <w:t xml:space="preserve">onsent seekers are responsible for </w:t>
      </w:r>
      <w:r w:rsidR="002744BA">
        <w:t>giving</w:t>
      </w:r>
      <w:r w:rsidR="0012614C">
        <w:t xml:space="preserve"> </w:t>
      </w:r>
      <w:r w:rsidR="002744BA">
        <w:t>comprehensive</w:t>
      </w:r>
      <w:r w:rsidR="002744BA">
        <w:t xml:space="preserve"> and </w:t>
      </w:r>
      <w:r w:rsidR="0012614C">
        <w:t>clear information about their</w:t>
      </w:r>
      <w:r w:rsidR="002744BA">
        <w:t xml:space="preserve"> treatment</w:t>
      </w:r>
      <w:r w:rsidR="002744BA">
        <w:t xml:space="preserve">s or </w:t>
      </w:r>
      <w:r w:rsidR="0012614C">
        <w:t>activit</w:t>
      </w:r>
      <w:r w:rsidR="002744BA">
        <w:t>ies</w:t>
      </w:r>
      <w:r w:rsidR="0012614C">
        <w:t xml:space="preserve">. </w:t>
      </w:r>
      <w:r w:rsidR="002744BA">
        <w:t>This</w:t>
      </w:r>
      <w:r w:rsidR="0012614C">
        <w:t xml:space="preserve"> includes the </w:t>
      </w:r>
      <w:r w:rsidR="002744BA">
        <w:t xml:space="preserve">nature, </w:t>
      </w:r>
      <w:r w:rsidR="0012614C">
        <w:t xml:space="preserve">purpose, </w:t>
      </w:r>
      <w:r w:rsidR="002744BA">
        <w:t xml:space="preserve">benefits, </w:t>
      </w:r>
      <w:r w:rsidR="0012614C">
        <w:t>risks, po</w:t>
      </w:r>
      <w:r w:rsidR="002744BA">
        <w:t xml:space="preserve">ssible </w:t>
      </w:r>
      <w:r w:rsidR="0012614C">
        <w:t xml:space="preserve">alternatives, and </w:t>
      </w:r>
      <w:r w:rsidR="002744BA">
        <w:t xml:space="preserve">any </w:t>
      </w:r>
      <w:r w:rsidR="0012614C">
        <w:t>other relevant details that may influence a person's decisions. Information should be presented in such a way that a</w:t>
      </w:r>
      <w:r w:rsidR="002744BA">
        <w:t>ll</w:t>
      </w:r>
      <w:r w:rsidR="0012614C">
        <w:t xml:space="preserve"> person</w:t>
      </w:r>
      <w:r w:rsidR="002744BA">
        <w:t>s</w:t>
      </w:r>
      <w:r w:rsidR="0012614C">
        <w:t xml:space="preserve"> can understand it.</w:t>
      </w:r>
      <w:r w:rsidR="00902EEC">
        <w:t xml:space="preserve"> </w:t>
      </w:r>
    </w:p>
    <w:p w14:paraId="6CC98BA1" w14:textId="77777777" w:rsidR="00CF31E5" w:rsidRDefault="00902EEC" w:rsidP="00CF31E5">
      <w:pPr>
        <w:spacing w:after="0" w:line="480" w:lineRule="auto"/>
        <w:ind w:firstLine="720"/>
      </w:pPr>
      <w:r>
        <w:t xml:space="preserve">Furthermore, </w:t>
      </w:r>
      <w:r w:rsidRPr="00AD31F7">
        <w:rPr>
          <w:i/>
          <w:iCs/>
        </w:rPr>
        <w:t>c</w:t>
      </w:r>
      <w:r w:rsidR="0012614C" w:rsidRPr="00AD31F7">
        <w:rPr>
          <w:i/>
          <w:iCs/>
        </w:rPr>
        <w:t>omprehension</w:t>
      </w:r>
      <w:r w:rsidRPr="00AD31F7">
        <w:rPr>
          <w:i/>
          <w:iCs/>
        </w:rPr>
        <w:t xml:space="preserve"> </w:t>
      </w:r>
      <w:r>
        <w:t>means i</w:t>
      </w:r>
      <w:r w:rsidR="0012614C">
        <w:t>nformed consent requires that the individual receives and understands the information provided</w:t>
      </w:r>
      <w:r w:rsidR="00CF31E5" w:rsidRPr="00CF31E5">
        <w:t xml:space="preserve"> </w:t>
      </w:r>
      <w:r w:rsidR="00CF31E5" w:rsidRPr="00CF31E5">
        <w:t>(</w:t>
      </w:r>
      <w:proofErr w:type="spellStart"/>
      <w:r w:rsidR="00CF31E5" w:rsidRPr="00CF31E5">
        <w:t>Siegle</w:t>
      </w:r>
      <w:proofErr w:type="spellEnd"/>
      <w:r w:rsidR="00CF31E5" w:rsidRPr="00CF31E5">
        <w:t>, 2015)</w:t>
      </w:r>
      <w:r w:rsidR="0012614C">
        <w:t xml:space="preserve">. They should be given the opportunity to ask questions, ask for more clarification and receive more information if </w:t>
      </w:r>
      <w:r w:rsidR="0012614C">
        <w:lastRenderedPageBreak/>
        <w:t>necessary. It is important to ensure that the consenting person has a reasonable understanding of what they are consenting to.</w:t>
      </w:r>
      <w:r w:rsidR="00CF31E5">
        <w:t xml:space="preserve"> </w:t>
      </w:r>
      <w:r>
        <w:t xml:space="preserve">Additionally, </w:t>
      </w:r>
      <w:r w:rsidRPr="00AD31F7">
        <w:rPr>
          <w:i/>
          <w:iCs/>
        </w:rPr>
        <w:t>c</w:t>
      </w:r>
      <w:r w:rsidR="0012614C" w:rsidRPr="00AD31F7">
        <w:rPr>
          <w:i/>
          <w:iCs/>
        </w:rPr>
        <w:t>ompetence of the provider</w:t>
      </w:r>
      <w:r>
        <w:t xml:space="preserve"> has to be duly considered, as</w:t>
      </w:r>
      <w:r w:rsidR="0012614C">
        <w:t xml:space="preserve"> </w:t>
      </w:r>
      <w:r>
        <w:t>c</w:t>
      </w:r>
      <w:r w:rsidR="0012614C">
        <w:t>onsent seekers must have the necessary knowledge and expertise to accurately describe the relevant information. This applies to health professionals, researchers and anyone responsible for obtaining consent.</w:t>
      </w:r>
      <w:r>
        <w:t xml:space="preserve"> </w:t>
      </w:r>
      <w:r w:rsidR="00AD31F7" w:rsidRPr="00AD31F7">
        <w:rPr>
          <w:i/>
          <w:iCs/>
        </w:rPr>
        <w:t>W</w:t>
      </w:r>
      <w:r w:rsidR="0012614C" w:rsidRPr="00AD31F7">
        <w:rPr>
          <w:i/>
          <w:iCs/>
        </w:rPr>
        <w:t xml:space="preserve">ritten </w:t>
      </w:r>
      <w:r w:rsidR="00AD31F7" w:rsidRPr="00AD31F7">
        <w:rPr>
          <w:i/>
          <w:iCs/>
        </w:rPr>
        <w:t>c</w:t>
      </w:r>
      <w:r w:rsidR="0012614C" w:rsidRPr="00AD31F7">
        <w:rPr>
          <w:i/>
          <w:iCs/>
        </w:rPr>
        <w:t>onsent</w:t>
      </w:r>
      <w:r w:rsidR="00AD31F7">
        <w:t xml:space="preserve"> is another element of informed c</w:t>
      </w:r>
      <w:r w:rsidR="0012614C">
        <w:t xml:space="preserve">onsent </w:t>
      </w:r>
      <w:r w:rsidR="00AD31F7">
        <w:t xml:space="preserve">that </w:t>
      </w:r>
      <w:r w:rsidR="0012614C">
        <w:t xml:space="preserve">is usually </w:t>
      </w:r>
      <w:r w:rsidR="007E7561">
        <w:t xml:space="preserve">documented in </w:t>
      </w:r>
      <w:r w:rsidR="0012614C">
        <w:t>writing, but oral consent may be sufficient</w:t>
      </w:r>
      <w:r w:rsidR="007E7561">
        <w:t xml:space="preserve"> in some cases</w:t>
      </w:r>
      <w:r w:rsidR="00CF31E5">
        <w:t xml:space="preserve"> </w:t>
      </w:r>
      <w:r w:rsidR="00CF31E5" w:rsidRPr="00CF31E5">
        <w:t>(University of Oxford, 2021)</w:t>
      </w:r>
      <w:r w:rsidR="00CF31E5">
        <w:t>.</w:t>
      </w:r>
      <w:r w:rsidR="0012614C">
        <w:t xml:space="preserve"> Consent forms should include details of the activity or treatment, disclosure of information, confirmation of understanding and individual signature</w:t>
      </w:r>
      <w:r w:rsidR="007E7561">
        <w:t xml:space="preserve"> or other evidence of an agreement</w:t>
      </w:r>
      <w:r w:rsidR="0012614C">
        <w:t>.</w:t>
      </w:r>
      <w:r w:rsidR="00AD31F7">
        <w:t xml:space="preserve"> </w:t>
      </w:r>
    </w:p>
    <w:p w14:paraId="42C6F866" w14:textId="554C579A" w:rsidR="00EB46AD" w:rsidRDefault="00AD31F7" w:rsidP="00CF31E5">
      <w:pPr>
        <w:spacing w:after="0" w:line="480" w:lineRule="auto"/>
        <w:ind w:firstLine="720"/>
      </w:pPr>
      <w:r>
        <w:t xml:space="preserve">Moreover, the </w:t>
      </w:r>
      <w:r w:rsidRPr="00C326E9">
        <w:rPr>
          <w:i/>
          <w:iCs/>
        </w:rPr>
        <w:t>r</w:t>
      </w:r>
      <w:r w:rsidR="007E7561" w:rsidRPr="00C326E9">
        <w:rPr>
          <w:i/>
          <w:iCs/>
        </w:rPr>
        <w:t>ight to withdraw</w:t>
      </w:r>
      <w:r w:rsidR="007E7561" w:rsidRPr="007E7561">
        <w:t xml:space="preserve"> </w:t>
      </w:r>
      <w:r>
        <w:t>is another form of informed consent, and i</w:t>
      </w:r>
      <w:r w:rsidR="007E7561" w:rsidRPr="007E7561">
        <w:t xml:space="preserve">ndividuals should be informed that they have the right to withdraw their consent at any time without facing negative consequences. </w:t>
      </w:r>
      <w:r w:rsidR="00EB46AD">
        <w:t xml:space="preserve">They </w:t>
      </w:r>
      <w:r w:rsidR="007E7561" w:rsidRPr="007E7561">
        <w:t xml:space="preserve">should also </w:t>
      </w:r>
      <w:r w:rsidR="00EB46AD">
        <w:t xml:space="preserve">be made to </w:t>
      </w:r>
      <w:r w:rsidR="007E7561" w:rsidRPr="007E7561">
        <w:t>understand the</w:t>
      </w:r>
      <w:r w:rsidR="00EB46AD">
        <w:t xml:space="preserve"> possible</w:t>
      </w:r>
      <w:r w:rsidR="007E7561" w:rsidRPr="007E7561">
        <w:t xml:space="preserve"> limitations and consequences of withdrawal</w:t>
      </w:r>
      <w:r w:rsidR="00C326E9" w:rsidRPr="00C326E9">
        <w:t xml:space="preserve"> </w:t>
      </w:r>
      <w:r w:rsidR="00C326E9" w:rsidRPr="00C326E9">
        <w:t>(Finegold &amp; Singer, 2005)</w:t>
      </w:r>
      <w:r>
        <w:t>. Continually, i</w:t>
      </w:r>
      <w:r w:rsidR="00EB46AD" w:rsidRPr="00EB46AD">
        <w:t xml:space="preserve">nformed consent is an </w:t>
      </w:r>
      <w:r w:rsidR="00EB46AD" w:rsidRPr="00AD31F7">
        <w:rPr>
          <w:i/>
          <w:iCs/>
        </w:rPr>
        <w:t>ongoing process</w:t>
      </w:r>
      <w:r w:rsidR="00EB46AD" w:rsidRPr="00EB46AD">
        <w:t>, not a one-time event. Individuals should be kept informed and given the opportunity to reconsider their consent if there is a significant change in activity or treatment.</w:t>
      </w:r>
      <w:r>
        <w:t xml:space="preserve"> Finally, </w:t>
      </w:r>
      <w:r w:rsidRPr="00AD31F7">
        <w:rPr>
          <w:i/>
          <w:iCs/>
        </w:rPr>
        <w:t>p</w:t>
      </w:r>
      <w:r w:rsidR="00EB46AD" w:rsidRPr="00AD31F7">
        <w:rPr>
          <w:i/>
          <w:iCs/>
        </w:rPr>
        <w:t xml:space="preserve">roxy </w:t>
      </w:r>
      <w:r w:rsidRPr="00AD31F7">
        <w:rPr>
          <w:i/>
          <w:iCs/>
        </w:rPr>
        <w:t>c</w:t>
      </w:r>
      <w:r w:rsidR="00EB46AD" w:rsidRPr="00AD31F7">
        <w:rPr>
          <w:i/>
          <w:iCs/>
        </w:rPr>
        <w:t>onsent</w:t>
      </w:r>
      <w:r>
        <w:t>, is w</w:t>
      </w:r>
      <w:r w:rsidR="00EB46AD" w:rsidRPr="00EB46AD">
        <w:t xml:space="preserve">here a person is incapable of providing informed consent, </w:t>
      </w:r>
      <w:r>
        <w:t xml:space="preserve">in this case, </w:t>
      </w:r>
      <w:r w:rsidR="00EB46AD" w:rsidRPr="00EB46AD">
        <w:t>an authorized legal representative (such as a family member or legal guardian) can provide consent on their behalf</w:t>
      </w:r>
      <w:r w:rsidR="00C326E9" w:rsidRPr="00C326E9">
        <w:t xml:space="preserve"> </w:t>
      </w:r>
      <w:r w:rsidR="00C326E9" w:rsidRPr="00C326E9">
        <w:t>(Banja, 1986)</w:t>
      </w:r>
      <w:r w:rsidR="00EB46AD" w:rsidRPr="00EB46AD">
        <w:t>. Representatives must act in the</w:t>
      </w:r>
      <w:r w:rsidR="00EB46AD">
        <w:t xml:space="preserve"> individuals’ best</w:t>
      </w:r>
      <w:r w:rsidR="00EB46AD" w:rsidRPr="00EB46AD">
        <w:t xml:space="preserve"> interest</w:t>
      </w:r>
      <w:r w:rsidR="00EB46AD">
        <w:t>s</w:t>
      </w:r>
      <w:r w:rsidR="00EB46AD" w:rsidRPr="00EB46AD">
        <w:t xml:space="preserve"> and take into account any wishes previously expressed.</w:t>
      </w:r>
    </w:p>
    <w:p w14:paraId="269B0806" w14:textId="4D481D19" w:rsidR="00F35C4A" w:rsidRDefault="00F35C4A" w:rsidP="00F35C4A">
      <w:pPr>
        <w:spacing w:after="0" w:line="480" w:lineRule="auto"/>
      </w:pPr>
      <w:r>
        <w:t>Breach of Client Confidentiality</w:t>
      </w:r>
    </w:p>
    <w:p w14:paraId="3B57ED82" w14:textId="77777777" w:rsidR="00CF31E5" w:rsidRDefault="00552485" w:rsidP="00CF31E5">
      <w:pPr>
        <w:spacing w:after="0" w:line="480" w:lineRule="auto"/>
        <w:ind w:firstLine="720"/>
      </w:pPr>
      <w:r w:rsidRPr="00552485">
        <w:t>Confidentiality is a fundamental ethical principle in interpersonal services, especially in fields such as therapy, counsel</w:t>
      </w:r>
      <w:r>
        <w:t>l</w:t>
      </w:r>
      <w:r w:rsidRPr="00552485">
        <w:t>ing, psychology, and social work</w:t>
      </w:r>
      <w:r w:rsidR="00CF31E5" w:rsidRPr="00CF31E5">
        <w:t xml:space="preserve"> </w:t>
      </w:r>
      <w:r w:rsidR="00CF31E5" w:rsidRPr="00CF31E5">
        <w:t xml:space="preserve">(American Psychological </w:t>
      </w:r>
      <w:r w:rsidR="00CF31E5" w:rsidRPr="00CF31E5">
        <w:lastRenderedPageBreak/>
        <w:t>Association, 2017)</w:t>
      </w:r>
      <w:r w:rsidRPr="00552485">
        <w:t xml:space="preserve">. However, in certain circumstances, human service providers may need to break common understandings of confidentiality. </w:t>
      </w:r>
    </w:p>
    <w:p w14:paraId="50FDC79D" w14:textId="2B19067A" w:rsidR="00CF31E5" w:rsidRDefault="00CF31E5" w:rsidP="00CF31E5">
      <w:pPr>
        <w:spacing w:after="0" w:line="480" w:lineRule="auto"/>
        <w:ind w:firstLine="720"/>
      </w:pPr>
      <w:r>
        <w:t xml:space="preserve">Some of these </w:t>
      </w:r>
      <w:r w:rsidR="00552485" w:rsidRPr="00552485">
        <w:t>examples</w:t>
      </w:r>
      <w:r>
        <w:t xml:space="preserve"> include: </w:t>
      </w:r>
      <w:r w:rsidRPr="009E5F6D">
        <w:rPr>
          <w:i/>
          <w:iCs/>
        </w:rPr>
        <w:t>1)</w:t>
      </w:r>
      <w:r>
        <w:t xml:space="preserve"> </w:t>
      </w:r>
      <w:r w:rsidR="00552485" w:rsidRPr="009E5F6D">
        <w:rPr>
          <w:i/>
          <w:iCs/>
        </w:rPr>
        <w:t>Legal Duty:</w:t>
      </w:r>
      <w:r w:rsidR="00552485" w:rsidRPr="00552485">
        <w:t xml:space="preserve"> A welfare provider may have a duty to breach confidentiality if there is a clear and imminent risk of harm to the client or others</w:t>
      </w:r>
      <w:r w:rsidR="009E5F6D">
        <w:t xml:space="preserve">. </w:t>
      </w:r>
      <w:r w:rsidR="00552485" w:rsidRPr="00552485">
        <w:t xml:space="preserve">This includes </w:t>
      </w:r>
      <w:r w:rsidR="0047627D">
        <w:t>circumstances</w:t>
      </w:r>
      <w:r w:rsidR="00552485" w:rsidRPr="00552485">
        <w:t xml:space="preserve"> involving </w:t>
      </w:r>
      <w:r w:rsidR="0047627D">
        <w:t xml:space="preserve">violent </w:t>
      </w:r>
      <w:r w:rsidR="00552485" w:rsidRPr="00552485">
        <w:t>threats, child abuse, elder abuse, or self-harm (suicidal thoughts). Laws and regulations</w:t>
      </w:r>
      <w:r w:rsidR="0047627D">
        <w:t>, however, differ</w:t>
      </w:r>
      <w:r w:rsidR="00552485" w:rsidRPr="00552485">
        <w:t xml:space="preserve"> by jurisdiction, but general</w:t>
      </w:r>
      <w:r w:rsidR="00552485">
        <w:t>ly</w:t>
      </w:r>
      <w:r w:rsidR="00552485" w:rsidRPr="00552485">
        <w:t xml:space="preserve">, professionals have duties as </w:t>
      </w:r>
      <w:r w:rsidR="00552485">
        <w:t>authorized reporters</w:t>
      </w:r>
      <w:r w:rsidR="00552485" w:rsidRPr="00552485">
        <w:t xml:space="preserve"> and must inform the appropriate authorities to protect individuals from harm</w:t>
      </w:r>
      <w:r w:rsidR="00552485" w:rsidRPr="009E5F6D">
        <w:rPr>
          <w:i/>
          <w:iCs/>
        </w:rPr>
        <w:t xml:space="preserve">. </w:t>
      </w:r>
      <w:r w:rsidRPr="009E5F6D">
        <w:rPr>
          <w:i/>
          <w:iCs/>
        </w:rPr>
        <w:t>2)</w:t>
      </w:r>
      <w:r>
        <w:t xml:space="preserve"> </w:t>
      </w:r>
      <w:r w:rsidR="00396717" w:rsidRPr="009E5F6D">
        <w:rPr>
          <w:i/>
          <w:iCs/>
        </w:rPr>
        <w:t>Informed Consent:</w:t>
      </w:r>
      <w:r w:rsidR="00396717" w:rsidRPr="00396717">
        <w:t xml:space="preserve"> C</w:t>
      </w:r>
      <w:r w:rsidR="0047627D">
        <w:t>lient</w:t>
      </w:r>
      <w:r w:rsidR="00396717" w:rsidRPr="00396717">
        <w:t xml:space="preserve">s may </w:t>
      </w:r>
      <w:r w:rsidR="0047627D">
        <w:t>give</w:t>
      </w:r>
      <w:r w:rsidR="00396717" w:rsidRPr="00396717">
        <w:t xml:space="preserve"> informed consent for limited breaches of confidentiality. For example, in some practice settings, it is common for clients to sign an agreement that allows the therapist to consult with other professionals involved in their care, such as </w:t>
      </w:r>
      <w:r w:rsidR="00563421">
        <w:t xml:space="preserve">teachers, </w:t>
      </w:r>
      <w:r w:rsidR="00396717" w:rsidRPr="00396717">
        <w:t xml:space="preserve">doctors, </w:t>
      </w:r>
      <w:r w:rsidR="00563421">
        <w:t>or</w:t>
      </w:r>
      <w:r w:rsidR="00396717" w:rsidRPr="00396717">
        <w:t xml:space="preserve"> family members</w:t>
      </w:r>
      <w:r w:rsidR="009E5F6D">
        <w:t xml:space="preserve"> </w:t>
      </w:r>
      <w:r w:rsidR="009E5F6D" w:rsidRPr="009E5F6D">
        <w:t>(Darby &amp; Weinstock, 2018)</w:t>
      </w:r>
      <w:r w:rsidR="00396717" w:rsidRPr="00396717">
        <w:t xml:space="preserve">. This </w:t>
      </w:r>
      <w:r w:rsidR="00563421">
        <w:t xml:space="preserve">sharing of </w:t>
      </w:r>
      <w:r w:rsidR="00396717" w:rsidRPr="00396717">
        <w:t>information</w:t>
      </w:r>
      <w:r w:rsidR="00563421">
        <w:t xml:space="preserve"> </w:t>
      </w:r>
      <w:r w:rsidR="00396717" w:rsidRPr="00396717">
        <w:t>is generally done with the express consent and understanding of the customer.</w:t>
      </w:r>
      <w:r>
        <w:t xml:space="preserve"> </w:t>
      </w:r>
    </w:p>
    <w:p w14:paraId="3A287608" w14:textId="31CD957C" w:rsidR="00552485" w:rsidRDefault="00CF31E5" w:rsidP="00CF31E5">
      <w:pPr>
        <w:spacing w:after="0" w:line="480" w:lineRule="auto"/>
        <w:ind w:firstLine="720"/>
      </w:pPr>
      <w:r w:rsidRPr="009E5F6D">
        <w:rPr>
          <w:i/>
          <w:iCs/>
        </w:rPr>
        <w:t>3)</w:t>
      </w:r>
      <w:r>
        <w:t xml:space="preserve"> </w:t>
      </w:r>
      <w:r w:rsidR="0047627D" w:rsidRPr="009E5F6D">
        <w:rPr>
          <w:i/>
          <w:iCs/>
        </w:rPr>
        <w:t>Duty to warn:</w:t>
      </w:r>
      <w:r w:rsidR="0047627D" w:rsidRPr="0047627D">
        <w:t xml:space="preserve"> A welfare service provider may have a duty to warn when there is a clear and specific threat of violence against an identifiable individual or group of clients</w:t>
      </w:r>
      <w:r w:rsidR="009E5F6D">
        <w:t xml:space="preserve"> </w:t>
      </w:r>
      <w:r w:rsidR="009E5F6D" w:rsidRPr="009E5F6D">
        <w:t>(National Conference of State Legislatures, 2022)</w:t>
      </w:r>
      <w:r w:rsidR="009E5F6D" w:rsidRPr="00552485">
        <w:t>.</w:t>
      </w:r>
      <w:r w:rsidR="0047627D" w:rsidRPr="0047627D">
        <w:t xml:space="preserve"> In such cases, the provider may be legally obligated to breach </w:t>
      </w:r>
      <w:r w:rsidR="00563421">
        <w:t xml:space="preserve">their clients’ </w:t>
      </w:r>
      <w:r w:rsidR="0047627D" w:rsidRPr="0047627D">
        <w:t xml:space="preserve">confidentiality and notify potential victims or appropriate authorities </w:t>
      </w:r>
      <w:r w:rsidR="00563421">
        <w:t xml:space="preserve">so as </w:t>
      </w:r>
      <w:r w:rsidR="0047627D" w:rsidRPr="0047627D">
        <w:t>to prevent harm.</w:t>
      </w:r>
      <w:r>
        <w:t xml:space="preserve"> </w:t>
      </w:r>
      <w:r w:rsidRPr="009E5F6D">
        <w:rPr>
          <w:i/>
          <w:iCs/>
        </w:rPr>
        <w:t>4)</w:t>
      </w:r>
      <w:r>
        <w:t xml:space="preserve"> </w:t>
      </w:r>
      <w:r w:rsidR="0047627D" w:rsidRPr="009E5F6D">
        <w:rPr>
          <w:i/>
          <w:iCs/>
        </w:rPr>
        <w:t>Court-Ordered Disclosure:</w:t>
      </w:r>
      <w:r w:rsidR="0047627D" w:rsidRPr="0047627D">
        <w:t xml:space="preserve"> In </w:t>
      </w:r>
      <w:r w:rsidR="00563421">
        <w:t>other</w:t>
      </w:r>
      <w:r w:rsidR="0047627D" w:rsidRPr="0047627D">
        <w:t xml:space="preserve"> </w:t>
      </w:r>
      <w:r w:rsidR="0047627D">
        <w:t>cases</w:t>
      </w:r>
      <w:r w:rsidR="0047627D" w:rsidRPr="0047627D">
        <w:t xml:space="preserve">, </w:t>
      </w:r>
      <w:r w:rsidR="0047627D">
        <w:t>the</w:t>
      </w:r>
      <w:r w:rsidR="0047627D" w:rsidRPr="0047627D">
        <w:t xml:space="preserve"> court</w:t>
      </w:r>
      <w:r w:rsidR="0047627D">
        <w:t>s</w:t>
      </w:r>
      <w:r w:rsidR="0047627D" w:rsidRPr="0047627D">
        <w:t xml:space="preserve"> may issue a court order</w:t>
      </w:r>
      <w:r w:rsidR="0047627D">
        <w:t xml:space="preserve"> or subpoena</w:t>
      </w:r>
      <w:r w:rsidR="0047627D" w:rsidRPr="0047627D">
        <w:t xml:space="preserve"> requiring a human service provider to disclose confidential information</w:t>
      </w:r>
      <w:r w:rsidR="0047627D">
        <w:t xml:space="preserve"> about their clients</w:t>
      </w:r>
      <w:r w:rsidR="009E5F6D" w:rsidRPr="009E5F6D">
        <w:t xml:space="preserve"> </w:t>
      </w:r>
      <w:r w:rsidR="009E5F6D" w:rsidRPr="009E5F6D">
        <w:t>(Office for Civil Rights (OCR), 2008)</w:t>
      </w:r>
      <w:r w:rsidR="0047627D" w:rsidRPr="0047627D">
        <w:t>. While professionals generally strive to protect</w:t>
      </w:r>
      <w:r w:rsidR="0047627D">
        <w:t xml:space="preserve"> their</w:t>
      </w:r>
      <w:r w:rsidR="0047627D" w:rsidRPr="0047627D">
        <w:t xml:space="preserve"> client</w:t>
      </w:r>
      <w:r w:rsidR="0047627D">
        <w:t>’s</w:t>
      </w:r>
      <w:r w:rsidR="0047627D" w:rsidRPr="0047627D">
        <w:t xml:space="preserve"> privacy, they may be legally compelled to comply with such orders.</w:t>
      </w:r>
      <w:r w:rsidR="0047627D">
        <w:t xml:space="preserve"> </w:t>
      </w:r>
      <w:r w:rsidRPr="009E5F6D">
        <w:rPr>
          <w:i/>
          <w:iCs/>
        </w:rPr>
        <w:t xml:space="preserve">5) </w:t>
      </w:r>
      <w:r w:rsidR="0047627D" w:rsidRPr="009E5F6D">
        <w:rPr>
          <w:i/>
          <w:iCs/>
        </w:rPr>
        <w:t>Consultation and supervision:</w:t>
      </w:r>
      <w:r w:rsidR="0047627D" w:rsidRPr="0047627D">
        <w:t xml:space="preserve"> </w:t>
      </w:r>
      <w:r w:rsidR="00563421">
        <w:t>Human welfare</w:t>
      </w:r>
      <w:r w:rsidR="0047627D" w:rsidRPr="0047627D">
        <w:t xml:space="preserve"> service providers often engage in consultation</w:t>
      </w:r>
      <w:r w:rsidR="00563421">
        <w:t>s</w:t>
      </w:r>
      <w:r w:rsidR="0047627D" w:rsidRPr="0047627D">
        <w:t xml:space="preserve"> and supervision with</w:t>
      </w:r>
      <w:r w:rsidR="00563421">
        <w:t xml:space="preserve"> their</w:t>
      </w:r>
      <w:r w:rsidR="0047627D" w:rsidRPr="0047627D">
        <w:t xml:space="preserve"> peers or supervisors to seek advice,</w:t>
      </w:r>
      <w:r w:rsidR="00563421">
        <w:t xml:space="preserve"> thus</w:t>
      </w:r>
      <w:r w:rsidR="0047627D" w:rsidRPr="0047627D">
        <w:t xml:space="preserve"> ensur</w:t>
      </w:r>
      <w:r w:rsidR="00563421">
        <w:t>ing</w:t>
      </w:r>
      <w:r w:rsidR="0047627D" w:rsidRPr="0047627D">
        <w:t xml:space="preserve"> best </w:t>
      </w:r>
      <w:r w:rsidR="0047627D" w:rsidRPr="0047627D">
        <w:lastRenderedPageBreak/>
        <w:t>practices, and improv</w:t>
      </w:r>
      <w:r w:rsidR="00563421">
        <w:t>ing</w:t>
      </w:r>
      <w:r w:rsidR="0047627D" w:rsidRPr="0047627D">
        <w:t xml:space="preserve"> the quality of </w:t>
      </w:r>
      <w:r w:rsidR="00563421">
        <w:t xml:space="preserve">the </w:t>
      </w:r>
      <w:r w:rsidR="0047627D" w:rsidRPr="0047627D">
        <w:t>care provided. C</w:t>
      </w:r>
      <w:r w:rsidR="00563421">
        <w:t>lient</w:t>
      </w:r>
      <w:r w:rsidR="0047627D" w:rsidRPr="0047627D">
        <w:t xml:space="preserve"> information may be shared during these discussions, but every care is taken to protect customer identity and privacy.</w:t>
      </w:r>
    </w:p>
    <w:p w14:paraId="7811005F" w14:textId="38249345" w:rsidR="00CF31E5" w:rsidRDefault="00F955CA" w:rsidP="00CF31E5">
      <w:pPr>
        <w:spacing w:after="0" w:line="480" w:lineRule="auto"/>
        <w:ind w:firstLine="720"/>
      </w:pPr>
      <w:r>
        <w:t xml:space="preserve">The concept of duty </w:t>
      </w:r>
      <w:r>
        <w:t>to warn</w:t>
      </w:r>
      <w:r>
        <w:t xml:space="preserve"> is an important ethical and legal consideration for health care professionals when working with HIV</w:t>
      </w:r>
      <w:r>
        <w:t>-</w:t>
      </w:r>
      <w:r>
        <w:t xml:space="preserve">positive patients. The duty </w:t>
      </w:r>
      <w:r>
        <w:t>to warn</w:t>
      </w:r>
      <w:r>
        <w:t xml:space="preserve"> refers to the responsibility of health care providers to disclose information that may harm others or endanger </w:t>
      </w:r>
      <w:r w:rsidR="00F35C4A">
        <w:t xml:space="preserve">the </w:t>
      </w:r>
      <w:r>
        <w:t>public health</w:t>
      </w:r>
      <w:r w:rsidR="009E5F6D" w:rsidRPr="009E5F6D">
        <w:t xml:space="preserve"> </w:t>
      </w:r>
      <w:r w:rsidR="009E5F6D" w:rsidRPr="009E5F6D">
        <w:t>(CDC, 2021)</w:t>
      </w:r>
      <w:r>
        <w:t>. In the context of HIV, this obligation primarily revolves around the obligation to inform those who may be at risk of contracting the virus from HIV-positive clients.</w:t>
      </w:r>
      <w:r>
        <w:t xml:space="preserve"> </w:t>
      </w:r>
      <w:r>
        <w:t xml:space="preserve">The duty of care arose early in the HIV/AIDS epidemic, when effective treatments were scarce and knowledge about the virus was </w:t>
      </w:r>
      <w:r w:rsidR="00F35C4A">
        <w:t xml:space="preserve">very </w:t>
      </w:r>
      <w:r>
        <w:t>limited. At the time, medical professionals faced the dilemma of balancing patient confidentiality with the need to protect public health. The task of warning has become an important component of HIV-related care to prevent further transmission and protect the health of others.</w:t>
      </w:r>
      <w:r>
        <w:t xml:space="preserve"> </w:t>
      </w:r>
      <w:r>
        <w:t xml:space="preserve">Although our understanding of HIV transmission and treatment has advanced significantly over the years, the duty </w:t>
      </w:r>
      <w:r w:rsidR="00F35C4A">
        <w:t>to warn</w:t>
      </w:r>
      <w:r>
        <w:t xml:space="preserve"> remains important</w:t>
      </w:r>
      <w:r w:rsidR="009E5F6D" w:rsidRPr="009E5F6D">
        <w:t xml:space="preserve"> </w:t>
      </w:r>
      <w:r w:rsidR="009E5F6D" w:rsidRPr="009E5F6D">
        <w:t>(Huynh &amp; Gulick, 2020)</w:t>
      </w:r>
      <w:r>
        <w:t>.</w:t>
      </w:r>
    </w:p>
    <w:p w14:paraId="098DA435" w14:textId="036D0A1B" w:rsidR="00563421" w:rsidRDefault="00F955CA" w:rsidP="00CF31E5">
      <w:pPr>
        <w:spacing w:after="0" w:line="480" w:lineRule="auto"/>
        <w:ind w:firstLine="720"/>
      </w:pPr>
      <w:r>
        <w:t>Compliance with this obligation is necessary to protect people who are unaware of their HIV infection and the opportunity to take preventive measures such as testing and access to appropriate medical services.</w:t>
      </w:r>
      <w:r w:rsidR="00CF31E5">
        <w:t xml:space="preserve"> </w:t>
      </w:r>
      <w:r>
        <w:t xml:space="preserve">The duty of care applies in situations where there is a foreseeable risk of HIV transmission, such as when an HIV-positive client engages in unprotected sex, sharing needles for drug use, or other </w:t>
      </w:r>
      <w:r>
        <w:t>behaviours</w:t>
      </w:r>
      <w:r>
        <w:t xml:space="preserve"> that could expose others to the virus. In such cases, medical professionals are required to take the necessary steps to inform those who may be at </w:t>
      </w:r>
      <w:proofErr w:type="gramStart"/>
      <w:r>
        <w:t>risk</w:t>
      </w:r>
      <w:r w:rsidR="00612DEC" w:rsidRPr="00612DEC">
        <w:t>(</w:t>
      </w:r>
      <w:proofErr w:type="gramEnd"/>
      <w:r w:rsidR="00612DEC" w:rsidRPr="00612DEC">
        <w:t>CDC, 2020)</w:t>
      </w:r>
      <w:r>
        <w:t>.</w:t>
      </w:r>
      <w:r>
        <w:t xml:space="preserve"> </w:t>
      </w:r>
      <w:r>
        <w:t xml:space="preserve">However, it is important to note that the duty of care must be treated with great care and respect for patient confidentiality. Health care providers must follow guidelines and laws regarding HIV disclosure, including obtaining informed consent from clients before </w:t>
      </w:r>
      <w:r>
        <w:lastRenderedPageBreak/>
        <w:t>providing information to people who may be infected with HIV. You should also provide adequate advice and support to your customers throughout the process.</w:t>
      </w:r>
      <w:r>
        <w:t xml:space="preserve"> </w:t>
      </w:r>
      <w:r>
        <w:t xml:space="preserve">The duty of care serves as an important public health measure in relation to HIV. </w:t>
      </w:r>
      <w:r w:rsidRPr="00F955CA">
        <w:t>By following this ethical commitment, health</w:t>
      </w:r>
      <w:r w:rsidR="00F35C4A">
        <w:t xml:space="preserve"> </w:t>
      </w:r>
      <w:r w:rsidRPr="00F955CA">
        <w:t>professionals help prevent and control HIV infection, support early diagnosis and treatment of those at risk, and promote public health and well-being.</w:t>
      </w:r>
    </w:p>
    <w:p w14:paraId="1354C5BD" w14:textId="36329198" w:rsidR="001348D6" w:rsidRDefault="001348D6">
      <w:r>
        <w:br w:type="page"/>
      </w:r>
    </w:p>
    <w:p w14:paraId="7FC6B6C4" w14:textId="77777777" w:rsidR="00612DEC" w:rsidRPr="00612DEC" w:rsidRDefault="00612DEC" w:rsidP="00612DEC">
      <w:pPr>
        <w:pStyle w:val="NormalWeb"/>
        <w:spacing w:before="0" w:beforeAutospacing="0" w:after="0" w:afterAutospacing="0" w:line="480" w:lineRule="auto"/>
        <w:jc w:val="center"/>
        <w:rPr>
          <w:b/>
          <w:bCs/>
        </w:rPr>
      </w:pPr>
      <w:r w:rsidRPr="00612DEC">
        <w:rPr>
          <w:b/>
          <w:bCs/>
        </w:rPr>
        <w:lastRenderedPageBreak/>
        <w:t>References</w:t>
      </w:r>
    </w:p>
    <w:p w14:paraId="055E7A43" w14:textId="77777777" w:rsidR="00612DEC" w:rsidRDefault="00612DEC" w:rsidP="00612DEC">
      <w:pPr>
        <w:pStyle w:val="NormalWeb"/>
        <w:spacing w:before="0" w:beforeAutospacing="0" w:after="0" w:afterAutospacing="0" w:line="480" w:lineRule="auto"/>
        <w:ind w:left="284" w:hanging="284"/>
      </w:pPr>
      <w:r>
        <w:t xml:space="preserve">American Psychological Association. (2017). Ethical Principles of Psychologists and Code of Conduct. </w:t>
      </w:r>
      <w:r>
        <w:rPr>
          <w:i/>
          <w:iCs/>
        </w:rPr>
        <w:t>American Psychological Association</w:t>
      </w:r>
      <w:r>
        <w:t>. https://www.apa.org/ethics/code</w:t>
      </w:r>
    </w:p>
    <w:p w14:paraId="148515F6" w14:textId="77777777" w:rsidR="00612DEC" w:rsidRDefault="00612DEC" w:rsidP="00612DEC">
      <w:pPr>
        <w:pStyle w:val="NormalWeb"/>
        <w:spacing w:before="0" w:beforeAutospacing="0" w:after="0" w:afterAutospacing="0" w:line="480" w:lineRule="auto"/>
        <w:ind w:left="284" w:hanging="284"/>
      </w:pPr>
      <w:r>
        <w:t xml:space="preserve">Banja, J. D. (1986). Proxy consent to medical treatment: implications for rehabilitation. </w:t>
      </w:r>
      <w:r>
        <w:rPr>
          <w:i/>
          <w:iCs/>
        </w:rPr>
        <w:t>Archives of Physical Medicine and Rehabilitation</w:t>
      </w:r>
      <w:r>
        <w:t xml:space="preserve">, </w:t>
      </w:r>
      <w:r>
        <w:rPr>
          <w:i/>
          <w:iCs/>
        </w:rPr>
        <w:t>67</w:t>
      </w:r>
      <w:r>
        <w:t>(11), 790–792. https://pubmed.ncbi.nlm.nih.gov/3778171/</w:t>
      </w:r>
    </w:p>
    <w:p w14:paraId="50A84BFE" w14:textId="77777777" w:rsidR="00612DEC" w:rsidRDefault="00612DEC" w:rsidP="00612DEC">
      <w:pPr>
        <w:pStyle w:val="NormalWeb"/>
        <w:spacing w:before="0" w:beforeAutospacing="0" w:after="0" w:afterAutospacing="0" w:line="480" w:lineRule="auto"/>
        <w:ind w:left="284" w:hanging="284"/>
      </w:pPr>
      <w:r>
        <w:t xml:space="preserve">Bhandari, P. (2021, October 18). </w:t>
      </w:r>
      <w:r>
        <w:rPr>
          <w:i/>
          <w:iCs/>
        </w:rPr>
        <w:t>Ethical Considerations in Research | Types &amp; Examples</w:t>
      </w:r>
      <w:r>
        <w:t xml:space="preserve">. </w:t>
      </w:r>
      <w:proofErr w:type="spellStart"/>
      <w:r>
        <w:t>Scribbr</w:t>
      </w:r>
      <w:proofErr w:type="spellEnd"/>
      <w:r>
        <w:t>. https://www.scribbr.com/methodology/research-ethics/#:~:text=Voluntary%20participation%20means%20that%20all</w:t>
      </w:r>
    </w:p>
    <w:p w14:paraId="63783001" w14:textId="77777777" w:rsidR="00612DEC" w:rsidRDefault="00612DEC" w:rsidP="00612DEC">
      <w:pPr>
        <w:pStyle w:val="NormalWeb"/>
        <w:spacing w:before="0" w:beforeAutospacing="0" w:after="0" w:afterAutospacing="0" w:line="480" w:lineRule="auto"/>
        <w:ind w:left="284" w:hanging="284"/>
      </w:pPr>
      <w:r>
        <w:t xml:space="preserve">CDC. (2020, November 3). </w:t>
      </w:r>
      <w:r>
        <w:rPr>
          <w:i/>
          <w:iCs/>
        </w:rPr>
        <w:t>HIV and Injection Drug Use | HIV Transmission | HIV Basics | HIV/AIDS | CDC</w:t>
      </w:r>
      <w:r>
        <w:t>. Www.cdc.gov. https://www.cdc.gov/hiv/basics/hiv-transmission/injection-drug-use.html</w:t>
      </w:r>
    </w:p>
    <w:p w14:paraId="14D68350" w14:textId="77777777" w:rsidR="00612DEC" w:rsidRDefault="00612DEC" w:rsidP="00612DEC">
      <w:pPr>
        <w:pStyle w:val="NormalWeb"/>
        <w:spacing w:before="0" w:beforeAutospacing="0" w:after="0" w:afterAutospacing="0" w:line="480" w:lineRule="auto"/>
        <w:ind w:left="284" w:hanging="284"/>
      </w:pPr>
      <w:r>
        <w:t xml:space="preserve">CDC. (2021, May 3). </w:t>
      </w:r>
      <w:r>
        <w:rPr>
          <w:i/>
          <w:iCs/>
        </w:rPr>
        <w:t>Duty to Warn</w:t>
      </w:r>
      <w:r>
        <w:t>. Www.cdc.gov. https://www.cdc.gov/std/treatment/duty-to-warn.htm</w:t>
      </w:r>
    </w:p>
    <w:p w14:paraId="04784B97" w14:textId="77777777" w:rsidR="00612DEC" w:rsidRDefault="00612DEC" w:rsidP="00612DEC">
      <w:pPr>
        <w:pStyle w:val="NormalWeb"/>
        <w:spacing w:before="0" w:beforeAutospacing="0" w:after="0" w:afterAutospacing="0" w:line="480" w:lineRule="auto"/>
        <w:ind w:left="284" w:hanging="284"/>
      </w:pPr>
      <w:r>
        <w:t xml:space="preserve">Darby, W. C., &amp; Weinstock, R. (2018). The limits of confidentiality: Informed consent and psychotherapy. </w:t>
      </w:r>
      <w:r>
        <w:rPr>
          <w:i/>
          <w:iCs/>
        </w:rPr>
        <w:t>FOCUS</w:t>
      </w:r>
      <w:r>
        <w:t xml:space="preserve">, </w:t>
      </w:r>
      <w:r>
        <w:rPr>
          <w:i/>
          <w:iCs/>
        </w:rPr>
        <w:t>16</w:t>
      </w:r>
      <w:r>
        <w:t>(4), 395–401. https://doi.org/10.1176/appi.focus.20180020</w:t>
      </w:r>
    </w:p>
    <w:p w14:paraId="15F883D3" w14:textId="77777777" w:rsidR="00612DEC" w:rsidRDefault="00612DEC" w:rsidP="00612DEC">
      <w:pPr>
        <w:pStyle w:val="NormalWeb"/>
        <w:spacing w:before="0" w:beforeAutospacing="0" w:after="0" w:afterAutospacing="0" w:line="480" w:lineRule="auto"/>
        <w:ind w:left="284" w:hanging="284"/>
      </w:pPr>
      <w:r>
        <w:t xml:space="preserve">Finegold, D. L., &amp; Singer, P. A. (2005). </w:t>
      </w:r>
      <w:r>
        <w:rPr>
          <w:i/>
          <w:iCs/>
        </w:rPr>
        <w:t>Right to Withdraw - an overview | ScienceDirect Topics</w:t>
      </w:r>
      <w:r>
        <w:t>. Www.sciencedirect.com. https://www.sciencedirect.com/topics/medicine-and-dentistry/right-to-withdraw</w:t>
      </w:r>
    </w:p>
    <w:p w14:paraId="79E5F051" w14:textId="77777777" w:rsidR="00612DEC" w:rsidRDefault="00612DEC" w:rsidP="00612DEC">
      <w:pPr>
        <w:pStyle w:val="NormalWeb"/>
        <w:spacing w:before="0" w:beforeAutospacing="0" w:after="0" w:afterAutospacing="0" w:line="480" w:lineRule="auto"/>
        <w:ind w:left="284" w:hanging="284"/>
      </w:pPr>
      <w:proofErr w:type="spellStart"/>
      <w:r>
        <w:t>Gossman</w:t>
      </w:r>
      <w:proofErr w:type="spellEnd"/>
      <w:r>
        <w:t xml:space="preserve">, W., Thornton, I., &amp; </w:t>
      </w:r>
      <w:proofErr w:type="spellStart"/>
      <w:r>
        <w:t>Hipskind</w:t>
      </w:r>
      <w:proofErr w:type="spellEnd"/>
      <w:r>
        <w:t xml:space="preserve">, J. E. (2022). </w:t>
      </w:r>
      <w:r>
        <w:rPr>
          <w:i/>
          <w:iCs/>
        </w:rPr>
        <w:t>Informed Consent</w:t>
      </w:r>
      <w:r>
        <w:t xml:space="preserve">. National Library of </w:t>
      </w:r>
      <w:proofErr w:type="gramStart"/>
      <w:r>
        <w:t>Medicine ;</w:t>
      </w:r>
      <w:proofErr w:type="gramEnd"/>
      <w:r>
        <w:t xml:space="preserve"> </w:t>
      </w:r>
      <w:proofErr w:type="spellStart"/>
      <w:r>
        <w:t>StatPearls</w:t>
      </w:r>
      <w:proofErr w:type="spellEnd"/>
      <w:r>
        <w:t xml:space="preserve"> Publishing. https://www.ncbi.nlm.nih.gov/books/NBK430827/</w:t>
      </w:r>
    </w:p>
    <w:p w14:paraId="05415C40" w14:textId="77777777" w:rsidR="00612DEC" w:rsidRDefault="00612DEC" w:rsidP="00612DEC">
      <w:pPr>
        <w:pStyle w:val="NormalWeb"/>
        <w:spacing w:before="0" w:beforeAutospacing="0" w:after="0" w:afterAutospacing="0" w:line="480" w:lineRule="auto"/>
        <w:ind w:left="284" w:hanging="284"/>
      </w:pPr>
      <w:r>
        <w:t xml:space="preserve">Huynh, K., &amp; Gulick, P. G. (2020). </w:t>
      </w:r>
      <w:r>
        <w:rPr>
          <w:i/>
          <w:iCs/>
        </w:rPr>
        <w:t>HIV Prevention</w:t>
      </w:r>
      <w:r>
        <w:t xml:space="preserve">. PubMed; </w:t>
      </w:r>
      <w:proofErr w:type="spellStart"/>
      <w:r>
        <w:t>StatPearls</w:t>
      </w:r>
      <w:proofErr w:type="spellEnd"/>
      <w:r>
        <w:t xml:space="preserve"> Publishing. https://www.ncbi.nlm.nih.gov/books/NBK470281/</w:t>
      </w:r>
    </w:p>
    <w:p w14:paraId="377CAA70" w14:textId="77777777" w:rsidR="00612DEC" w:rsidRDefault="00612DEC" w:rsidP="00612DEC">
      <w:pPr>
        <w:pStyle w:val="NormalWeb"/>
        <w:spacing w:before="0" w:beforeAutospacing="0" w:after="0" w:afterAutospacing="0" w:line="480" w:lineRule="auto"/>
        <w:ind w:left="720" w:hanging="720"/>
      </w:pPr>
      <w:r>
        <w:lastRenderedPageBreak/>
        <w:t xml:space="preserve">National Conference of State Legislatures. (2022, March 16). </w:t>
      </w:r>
      <w:r>
        <w:rPr>
          <w:i/>
          <w:iCs/>
        </w:rPr>
        <w:t>Mental Health Professionals’ Duty to Warn</w:t>
      </w:r>
      <w:r>
        <w:t>. Www.ncsl.org. https://www.ncsl.org/health/mental-health-professionals-duty-to-warn</w:t>
      </w:r>
    </w:p>
    <w:p w14:paraId="44A36474" w14:textId="77777777" w:rsidR="00612DEC" w:rsidRDefault="00612DEC" w:rsidP="00612DEC">
      <w:pPr>
        <w:pStyle w:val="NormalWeb"/>
        <w:spacing w:before="0" w:beforeAutospacing="0" w:after="0" w:afterAutospacing="0" w:line="480" w:lineRule="auto"/>
        <w:ind w:left="720" w:hanging="720"/>
      </w:pPr>
      <w:r>
        <w:t xml:space="preserve">Office for Civil Rights (OCR). (2008, November 19). </w:t>
      </w:r>
      <w:r>
        <w:rPr>
          <w:i/>
          <w:iCs/>
        </w:rPr>
        <w:t>Court Orders and Subpoenas</w:t>
      </w:r>
      <w:r>
        <w:t>. HHS.gov. https://www.hhs.gov/hipaa/for-individuals/court-orders-subpoenas/index.html</w:t>
      </w:r>
    </w:p>
    <w:p w14:paraId="4B5180D8" w14:textId="77777777" w:rsidR="00612DEC" w:rsidRDefault="00612DEC" w:rsidP="00612DEC">
      <w:pPr>
        <w:pStyle w:val="NormalWeb"/>
        <w:spacing w:before="0" w:beforeAutospacing="0" w:after="0" w:afterAutospacing="0" w:line="480" w:lineRule="auto"/>
        <w:ind w:left="720" w:hanging="720"/>
      </w:pPr>
      <w:proofErr w:type="spellStart"/>
      <w:r>
        <w:t>Siegle</w:t>
      </w:r>
      <w:proofErr w:type="spellEnd"/>
      <w:r>
        <w:t xml:space="preserve">, D. (2015). </w:t>
      </w:r>
      <w:r>
        <w:rPr>
          <w:i/>
          <w:iCs/>
        </w:rPr>
        <w:t xml:space="preserve">Research Ethics and Informed Consent | Educational Research Basics by Del </w:t>
      </w:r>
      <w:proofErr w:type="spellStart"/>
      <w:r>
        <w:rPr>
          <w:i/>
          <w:iCs/>
        </w:rPr>
        <w:t>Siegle</w:t>
      </w:r>
      <w:proofErr w:type="spellEnd"/>
      <w:r>
        <w:t xml:space="preserve">. Uconn.edu; Educational Research Basics by Del </w:t>
      </w:r>
      <w:proofErr w:type="spellStart"/>
      <w:r>
        <w:t>Siegle</w:t>
      </w:r>
      <w:proofErr w:type="spellEnd"/>
      <w:r>
        <w:t>. https://researchbasics.education.uconn.edu/ethics-and-informed-consent/</w:t>
      </w:r>
    </w:p>
    <w:p w14:paraId="10C8BBFC" w14:textId="77777777" w:rsidR="00612DEC" w:rsidRDefault="00612DEC" w:rsidP="00612DEC">
      <w:pPr>
        <w:pStyle w:val="NormalWeb"/>
        <w:spacing w:before="0" w:beforeAutospacing="0" w:after="0" w:afterAutospacing="0" w:line="480" w:lineRule="auto"/>
        <w:ind w:left="720" w:hanging="720"/>
      </w:pPr>
      <w:r>
        <w:t xml:space="preserve">University of Oxford. (2021, December 2). </w:t>
      </w:r>
      <w:r>
        <w:rPr>
          <w:i/>
          <w:iCs/>
        </w:rPr>
        <w:t>Informed Consent | Research Support</w:t>
      </w:r>
      <w:r>
        <w:t>. University of Oxford. https://researchsupport.admin.ox.ac.uk/governance/ethics/resources/consent</w:t>
      </w:r>
    </w:p>
    <w:p w14:paraId="4D0834F5" w14:textId="77777777" w:rsidR="001348D6" w:rsidRDefault="001348D6" w:rsidP="00F35C4A">
      <w:pPr>
        <w:spacing w:after="0" w:line="480" w:lineRule="auto"/>
      </w:pPr>
    </w:p>
    <w:p w14:paraId="7841A4B3" w14:textId="77777777" w:rsidR="00F35C4A" w:rsidRDefault="00F35C4A" w:rsidP="00F35C4A">
      <w:pPr>
        <w:spacing w:after="0" w:line="480" w:lineRule="auto"/>
      </w:pPr>
    </w:p>
    <w:sectPr w:rsidR="00F35C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12A9" w14:textId="77777777" w:rsidR="00E038E2" w:rsidRDefault="00E038E2" w:rsidP="00F35C4A">
      <w:pPr>
        <w:spacing w:after="0" w:line="240" w:lineRule="auto"/>
      </w:pPr>
      <w:r>
        <w:separator/>
      </w:r>
    </w:p>
  </w:endnote>
  <w:endnote w:type="continuationSeparator" w:id="0">
    <w:p w14:paraId="1CC670DD" w14:textId="77777777" w:rsidR="00E038E2" w:rsidRDefault="00E038E2" w:rsidP="00F3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3865" w14:textId="77777777" w:rsidR="00E038E2" w:rsidRDefault="00E038E2" w:rsidP="00F35C4A">
      <w:pPr>
        <w:spacing w:after="0" w:line="240" w:lineRule="auto"/>
      </w:pPr>
      <w:r>
        <w:separator/>
      </w:r>
    </w:p>
  </w:footnote>
  <w:footnote w:type="continuationSeparator" w:id="0">
    <w:p w14:paraId="5FBA980A" w14:textId="77777777" w:rsidR="00E038E2" w:rsidRDefault="00E038E2" w:rsidP="00F35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455961"/>
      <w:docPartObj>
        <w:docPartGallery w:val="Page Numbers (Top of Page)"/>
        <w:docPartUnique/>
      </w:docPartObj>
    </w:sdtPr>
    <w:sdtEndPr>
      <w:rPr>
        <w:noProof/>
      </w:rPr>
    </w:sdtEndPr>
    <w:sdtContent>
      <w:p w14:paraId="108DBF33" w14:textId="7A9106A5" w:rsidR="00F35C4A" w:rsidRDefault="00F35C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104768" w14:textId="77777777" w:rsidR="00F35C4A" w:rsidRDefault="00F35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52D4"/>
    <w:multiLevelType w:val="hybridMultilevel"/>
    <w:tmpl w:val="C7325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383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xMjc1MTYyMDEzNTZR0lEKTi0uzszPAykwrAUAwDUDHSwAAAA="/>
  </w:docVars>
  <w:rsids>
    <w:rsidRoot w:val="00B07DDB"/>
    <w:rsid w:val="0012614C"/>
    <w:rsid w:val="001348D6"/>
    <w:rsid w:val="001D3DEF"/>
    <w:rsid w:val="002744BA"/>
    <w:rsid w:val="00396717"/>
    <w:rsid w:val="0047627D"/>
    <w:rsid w:val="004D305E"/>
    <w:rsid w:val="004F0461"/>
    <w:rsid w:val="0052163A"/>
    <w:rsid w:val="00552485"/>
    <w:rsid w:val="00563421"/>
    <w:rsid w:val="00612DEC"/>
    <w:rsid w:val="007E7561"/>
    <w:rsid w:val="00816065"/>
    <w:rsid w:val="00902EEC"/>
    <w:rsid w:val="009E5F6D"/>
    <w:rsid w:val="00A56DFE"/>
    <w:rsid w:val="00AD31F7"/>
    <w:rsid w:val="00B07DDB"/>
    <w:rsid w:val="00C326E9"/>
    <w:rsid w:val="00CF31E5"/>
    <w:rsid w:val="00DE4C57"/>
    <w:rsid w:val="00E038E2"/>
    <w:rsid w:val="00E126F5"/>
    <w:rsid w:val="00EB46AD"/>
    <w:rsid w:val="00F35C4A"/>
    <w:rsid w:val="00F955CA"/>
    <w:rsid w:val="00FD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17A5"/>
  <w15:chartTrackingRefBased/>
  <w15:docId w15:val="{F450C266-818A-423C-A332-4F9B80FA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461"/>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421"/>
    <w:pPr>
      <w:ind w:left="720"/>
      <w:contextualSpacing/>
    </w:pPr>
  </w:style>
  <w:style w:type="paragraph" w:styleId="Header">
    <w:name w:val="header"/>
    <w:basedOn w:val="Normal"/>
    <w:link w:val="HeaderChar"/>
    <w:uiPriority w:val="99"/>
    <w:unhideWhenUsed/>
    <w:rsid w:val="00F35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C4A"/>
    <w:rPr>
      <w:rFonts w:ascii="Times New Roman" w:hAnsi="Times New Roman"/>
      <w:sz w:val="24"/>
      <w:lang w:val="en-GB"/>
    </w:rPr>
  </w:style>
  <w:style w:type="paragraph" w:styleId="Footer">
    <w:name w:val="footer"/>
    <w:basedOn w:val="Normal"/>
    <w:link w:val="FooterChar"/>
    <w:uiPriority w:val="99"/>
    <w:unhideWhenUsed/>
    <w:rsid w:val="00F35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C4A"/>
    <w:rPr>
      <w:rFonts w:ascii="Times New Roman" w:hAnsi="Times New Roman"/>
      <w:sz w:val="24"/>
      <w:lang w:val="en-GB"/>
    </w:rPr>
  </w:style>
  <w:style w:type="paragraph" w:styleId="NormalWeb">
    <w:name w:val="Normal (Web)"/>
    <w:basedOn w:val="Normal"/>
    <w:uiPriority w:val="99"/>
    <w:semiHidden/>
    <w:unhideWhenUsed/>
    <w:rsid w:val="00612DEC"/>
    <w:pPr>
      <w:spacing w:before="100" w:beforeAutospacing="1" w:after="100" w:afterAutospacing="1" w:line="240" w:lineRule="auto"/>
    </w:pPr>
    <w:rPr>
      <w:rFonts w:eastAsia="Times New Roman" w:cs="Times New Roman"/>
      <w:kern w:val="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9434">
      <w:bodyDiv w:val="1"/>
      <w:marLeft w:val="0"/>
      <w:marRight w:val="0"/>
      <w:marTop w:val="0"/>
      <w:marBottom w:val="0"/>
      <w:divBdr>
        <w:top w:val="none" w:sz="0" w:space="0" w:color="auto"/>
        <w:left w:val="none" w:sz="0" w:space="0" w:color="auto"/>
        <w:bottom w:val="none" w:sz="0" w:space="0" w:color="auto"/>
        <w:right w:val="none" w:sz="0" w:space="0" w:color="auto"/>
      </w:divBdr>
      <w:divsChild>
        <w:div w:id="716705046">
          <w:marLeft w:val="0"/>
          <w:marRight w:val="0"/>
          <w:marTop w:val="0"/>
          <w:marBottom w:val="0"/>
          <w:divBdr>
            <w:top w:val="none" w:sz="0" w:space="0" w:color="auto"/>
            <w:left w:val="none" w:sz="0" w:space="0" w:color="auto"/>
            <w:bottom w:val="none" w:sz="0" w:space="0" w:color="auto"/>
            <w:right w:val="none" w:sz="0" w:space="0" w:color="auto"/>
          </w:divBdr>
        </w:div>
      </w:divsChild>
    </w:div>
    <w:div w:id="187422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1799</TotalTime>
  <Pages>8</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Mohere</dc:creator>
  <cp:keywords/>
  <dc:description/>
  <cp:lastModifiedBy>Nancy Mohere</cp:lastModifiedBy>
  <cp:revision>1</cp:revision>
  <dcterms:created xsi:type="dcterms:W3CDTF">2023-06-05T08:32:00Z</dcterms:created>
  <dcterms:modified xsi:type="dcterms:W3CDTF">2023-06-06T14:31:00Z</dcterms:modified>
</cp:coreProperties>
</file>