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153947" w14:textId="77777777" w:rsidR="005666BF" w:rsidRDefault="005666BF" w:rsidP="005666BF">
      <w:pPr>
        <w:spacing w:line="480" w:lineRule="auto"/>
        <w:rPr>
          <w:rFonts w:ascii="Times New Roman" w:hAnsi="Times New Roman" w:cs="Times New Roman"/>
          <w:sz w:val="24"/>
          <w:szCs w:val="24"/>
        </w:rPr>
      </w:pPr>
      <w:r>
        <w:rPr>
          <w:rFonts w:ascii="Times New Roman" w:hAnsi="Times New Roman" w:cs="Times New Roman"/>
          <w:sz w:val="24"/>
          <w:szCs w:val="24"/>
        </w:rPr>
        <w:t>Student’s name</w:t>
      </w:r>
    </w:p>
    <w:p w14:paraId="32435BB2" w14:textId="77777777" w:rsidR="005666BF" w:rsidRDefault="005666BF" w:rsidP="005666BF">
      <w:pPr>
        <w:spacing w:line="480" w:lineRule="auto"/>
        <w:rPr>
          <w:rFonts w:ascii="Times New Roman" w:hAnsi="Times New Roman" w:cs="Times New Roman"/>
          <w:sz w:val="24"/>
          <w:szCs w:val="24"/>
        </w:rPr>
      </w:pPr>
      <w:r>
        <w:rPr>
          <w:rFonts w:ascii="Times New Roman" w:hAnsi="Times New Roman" w:cs="Times New Roman"/>
          <w:sz w:val="24"/>
          <w:szCs w:val="24"/>
        </w:rPr>
        <w:t>Professor’s name</w:t>
      </w:r>
    </w:p>
    <w:p w14:paraId="5D217BBA" w14:textId="77777777" w:rsidR="005666BF" w:rsidRDefault="005666BF" w:rsidP="005666BF">
      <w:pPr>
        <w:spacing w:line="480" w:lineRule="auto"/>
        <w:rPr>
          <w:rFonts w:ascii="Times New Roman" w:hAnsi="Times New Roman" w:cs="Times New Roman"/>
          <w:sz w:val="24"/>
          <w:szCs w:val="24"/>
        </w:rPr>
      </w:pPr>
      <w:r>
        <w:rPr>
          <w:rFonts w:ascii="Times New Roman" w:hAnsi="Times New Roman" w:cs="Times New Roman"/>
          <w:sz w:val="24"/>
          <w:szCs w:val="24"/>
        </w:rPr>
        <w:t>Course name and Code</w:t>
      </w:r>
    </w:p>
    <w:p w14:paraId="68947405" w14:textId="77777777" w:rsidR="005666BF" w:rsidRDefault="005666BF" w:rsidP="005666BF">
      <w:pPr>
        <w:spacing w:line="480" w:lineRule="auto"/>
        <w:rPr>
          <w:rFonts w:ascii="Times New Roman" w:hAnsi="Times New Roman" w:cs="Times New Roman"/>
          <w:sz w:val="24"/>
          <w:szCs w:val="24"/>
        </w:rPr>
      </w:pPr>
      <w:r>
        <w:rPr>
          <w:rFonts w:ascii="Times New Roman" w:hAnsi="Times New Roman" w:cs="Times New Roman"/>
          <w:sz w:val="24"/>
          <w:szCs w:val="24"/>
        </w:rPr>
        <w:t>Assignment Due Date</w:t>
      </w:r>
    </w:p>
    <w:p w14:paraId="2233E1C6" w14:textId="77777777" w:rsidR="003556C7" w:rsidRPr="00992A61" w:rsidRDefault="003556C7" w:rsidP="008A30BC">
      <w:pPr>
        <w:spacing w:line="480" w:lineRule="auto"/>
        <w:jc w:val="center"/>
        <w:rPr>
          <w:rFonts w:ascii="Times New Roman" w:hAnsi="Times New Roman" w:cs="Times New Roman"/>
          <w:sz w:val="24"/>
          <w:szCs w:val="24"/>
        </w:rPr>
      </w:pPr>
      <w:r w:rsidRPr="00992A61">
        <w:rPr>
          <w:rFonts w:ascii="Times New Roman" w:hAnsi="Times New Roman" w:cs="Times New Roman"/>
          <w:sz w:val="24"/>
          <w:szCs w:val="24"/>
        </w:rPr>
        <w:t>Major Elements of Informed Consent</w:t>
      </w:r>
      <w:r w:rsidR="00C31A00" w:rsidRPr="00992A61">
        <w:rPr>
          <w:rFonts w:ascii="Times New Roman" w:hAnsi="Times New Roman" w:cs="Times New Roman"/>
          <w:sz w:val="24"/>
          <w:szCs w:val="24"/>
        </w:rPr>
        <w:t xml:space="preserve"> in Clinical Work</w:t>
      </w:r>
    </w:p>
    <w:p w14:paraId="3B69295E" w14:textId="77777777" w:rsidR="008A30BC" w:rsidRPr="008A30BC" w:rsidRDefault="008A30BC" w:rsidP="008A30BC">
      <w:pPr>
        <w:spacing w:line="480" w:lineRule="auto"/>
        <w:ind w:firstLine="720"/>
        <w:rPr>
          <w:rFonts w:ascii="Times New Roman" w:hAnsi="Times New Roman" w:cs="Times New Roman"/>
          <w:sz w:val="24"/>
          <w:szCs w:val="24"/>
        </w:rPr>
      </w:pPr>
      <w:r w:rsidRPr="008A30BC">
        <w:rPr>
          <w:rFonts w:ascii="Times New Roman" w:hAnsi="Times New Roman" w:cs="Times New Roman"/>
          <w:sz w:val="24"/>
          <w:szCs w:val="24"/>
        </w:rPr>
        <w:t xml:space="preserve">In therapeutic work, informed consent is a critical ethical and legal obligation. It ensures that individuals have the essential information to make autonomous and informed healthcare decisions. </w:t>
      </w:r>
    </w:p>
    <w:p w14:paraId="4C64DD14" w14:textId="77777777" w:rsidR="008A30BC" w:rsidRPr="008A30BC" w:rsidRDefault="008A30BC" w:rsidP="008A30BC">
      <w:pPr>
        <w:spacing w:line="480" w:lineRule="auto"/>
        <w:ind w:firstLine="720"/>
        <w:rPr>
          <w:rFonts w:ascii="Times New Roman" w:hAnsi="Times New Roman" w:cs="Times New Roman"/>
          <w:sz w:val="24"/>
          <w:szCs w:val="24"/>
        </w:rPr>
      </w:pPr>
      <w:r w:rsidRPr="008A30BC">
        <w:rPr>
          <w:rFonts w:ascii="Times New Roman" w:hAnsi="Times New Roman" w:cs="Times New Roman"/>
          <w:sz w:val="24"/>
          <w:szCs w:val="24"/>
        </w:rPr>
        <w:t>Participation is entirely voluntary. Informed consent should be freely obtained, without compulsion or undue influence. The individual must be able to refuse or withdraw from the treatment intervention or research study without consequences.</w:t>
      </w:r>
      <w:r w:rsidR="00A179DD">
        <w:rPr>
          <w:rFonts w:ascii="Times New Roman" w:hAnsi="Times New Roman" w:cs="Times New Roman"/>
          <w:sz w:val="24"/>
          <w:szCs w:val="24"/>
        </w:rPr>
        <w:t xml:space="preserve"> Some of the elements include;</w:t>
      </w:r>
      <w:r w:rsidR="00A179DD">
        <w:rPr>
          <w:rFonts w:ascii="Times New Roman" w:hAnsi="Times New Roman" w:cs="Times New Roman"/>
          <w:sz w:val="24"/>
          <w:szCs w:val="24"/>
        </w:rPr>
        <w:tab/>
      </w:r>
    </w:p>
    <w:p w14:paraId="5482319D" w14:textId="77777777" w:rsidR="008A30BC" w:rsidRPr="008A30BC" w:rsidRDefault="008A30BC" w:rsidP="008A30BC">
      <w:pPr>
        <w:spacing w:line="480" w:lineRule="auto"/>
        <w:ind w:firstLine="720"/>
        <w:rPr>
          <w:rFonts w:ascii="Times New Roman" w:hAnsi="Times New Roman" w:cs="Times New Roman"/>
          <w:sz w:val="24"/>
          <w:szCs w:val="24"/>
        </w:rPr>
      </w:pPr>
      <w:r w:rsidRPr="008A30BC">
        <w:rPr>
          <w:rFonts w:ascii="Times New Roman" w:hAnsi="Times New Roman" w:cs="Times New Roman"/>
          <w:sz w:val="24"/>
          <w:szCs w:val="24"/>
        </w:rPr>
        <w:t>Consent Capacity. The individual must have the mental capacity to comprehend and evaluate pertinent clinical intervention or research project information. They must be able to balance the risks, advantages, and alternatives in order to make an informed choice.</w:t>
      </w:r>
    </w:p>
    <w:p w14:paraId="21B63CB6" w14:textId="77777777" w:rsidR="008A30BC" w:rsidRDefault="008A30BC" w:rsidP="008A30BC">
      <w:pPr>
        <w:spacing w:line="480" w:lineRule="auto"/>
        <w:ind w:firstLine="720"/>
        <w:rPr>
          <w:rFonts w:ascii="Times New Roman" w:hAnsi="Times New Roman" w:cs="Times New Roman"/>
          <w:sz w:val="24"/>
          <w:szCs w:val="24"/>
        </w:rPr>
      </w:pPr>
      <w:r w:rsidRPr="008A30BC">
        <w:rPr>
          <w:rFonts w:ascii="Times New Roman" w:hAnsi="Times New Roman" w:cs="Times New Roman"/>
          <w:sz w:val="24"/>
          <w:szCs w:val="24"/>
        </w:rPr>
        <w:t>Disclosure of Information. The healthcare professional must offer specific and detailed information about the clinical intervention or research endeavor. This contains information about the objective, procedures, potential risks and advantages, alternatives, and expected outcomes.</w:t>
      </w:r>
    </w:p>
    <w:p w14:paraId="6743E270" w14:textId="77777777" w:rsidR="008A30BC" w:rsidRDefault="008A30BC">
      <w:pPr>
        <w:rPr>
          <w:rFonts w:ascii="Times New Roman" w:hAnsi="Times New Roman" w:cs="Times New Roman"/>
          <w:sz w:val="24"/>
          <w:szCs w:val="24"/>
        </w:rPr>
      </w:pPr>
      <w:r>
        <w:rPr>
          <w:rFonts w:ascii="Times New Roman" w:hAnsi="Times New Roman" w:cs="Times New Roman"/>
          <w:sz w:val="24"/>
          <w:szCs w:val="24"/>
        </w:rPr>
        <w:br w:type="page"/>
      </w:r>
    </w:p>
    <w:p w14:paraId="3252D81A" w14:textId="77777777" w:rsidR="008A30BC" w:rsidRPr="008A30BC" w:rsidRDefault="008A30BC" w:rsidP="008A30BC">
      <w:pPr>
        <w:spacing w:line="480" w:lineRule="auto"/>
        <w:ind w:firstLine="720"/>
        <w:rPr>
          <w:rFonts w:ascii="Times New Roman" w:hAnsi="Times New Roman" w:cs="Times New Roman"/>
          <w:sz w:val="24"/>
          <w:szCs w:val="24"/>
        </w:rPr>
      </w:pPr>
    </w:p>
    <w:p w14:paraId="2F392920" w14:textId="77777777" w:rsidR="008A30BC" w:rsidRPr="008A30BC" w:rsidRDefault="008A30BC" w:rsidP="008A30BC">
      <w:pPr>
        <w:spacing w:line="480" w:lineRule="auto"/>
        <w:ind w:firstLine="720"/>
        <w:rPr>
          <w:rFonts w:ascii="Times New Roman" w:hAnsi="Times New Roman" w:cs="Times New Roman"/>
          <w:sz w:val="24"/>
          <w:szCs w:val="24"/>
        </w:rPr>
      </w:pPr>
      <w:r w:rsidRPr="008A30BC">
        <w:rPr>
          <w:rFonts w:ascii="Times New Roman" w:hAnsi="Times New Roman" w:cs="Times New Roman"/>
          <w:sz w:val="24"/>
          <w:szCs w:val="24"/>
        </w:rPr>
        <w:t>Competency. The individual should be competent to provide informed consent. Competency refers to the ability to make a rational and informed decision. For example, minors or individuals with cognitive impairments may require the involvement of a legal guardian or surrogate decision-maker.</w:t>
      </w:r>
    </w:p>
    <w:p w14:paraId="3EEB75A2" w14:textId="77777777" w:rsidR="008A30BC" w:rsidRPr="008A30BC" w:rsidRDefault="00076531" w:rsidP="008A30BC">
      <w:pPr>
        <w:spacing w:line="480" w:lineRule="auto"/>
        <w:ind w:firstLine="720"/>
        <w:rPr>
          <w:rFonts w:ascii="Times New Roman" w:hAnsi="Times New Roman" w:cs="Times New Roman"/>
          <w:sz w:val="24"/>
          <w:szCs w:val="24"/>
        </w:rPr>
      </w:pPr>
      <w:r>
        <w:rPr>
          <w:rFonts w:ascii="Times New Roman" w:hAnsi="Times New Roman" w:cs="Times New Roman"/>
          <w:sz w:val="24"/>
          <w:szCs w:val="24"/>
        </w:rPr>
        <w:t>C</w:t>
      </w:r>
      <w:r w:rsidR="008A30BC" w:rsidRPr="008A30BC">
        <w:rPr>
          <w:rFonts w:ascii="Times New Roman" w:hAnsi="Times New Roman" w:cs="Times New Roman"/>
          <w:sz w:val="24"/>
          <w:szCs w:val="24"/>
        </w:rPr>
        <w:t>apability to make decisions. The individual must have decision-making capability, which means they must be able to make independent decisions. Understanding the nature of the decision, realizing the ramifications, and articulating their conclusion are all part of this.</w:t>
      </w:r>
    </w:p>
    <w:p w14:paraId="6A0CACDA" w14:textId="77777777" w:rsidR="008A30BC" w:rsidRPr="008A30BC" w:rsidRDefault="008A30BC" w:rsidP="00A179DD">
      <w:pPr>
        <w:spacing w:line="480" w:lineRule="auto"/>
        <w:ind w:firstLine="720"/>
        <w:rPr>
          <w:rFonts w:ascii="Times New Roman" w:hAnsi="Times New Roman" w:cs="Times New Roman"/>
          <w:sz w:val="24"/>
          <w:szCs w:val="24"/>
        </w:rPr>
      </w:pPr>
      <w:r w:rsidRPr="008A30BC">
        <w:rPr>
          <w:rFonts w:ascii="Times New Roman" w:hAnsi="Times New Roman" w:cs="Times New Roman"/>
          <w:sz w:val="24"/>
          <w:szCs w:val="24"/>
        </w:rPr>
        <w:t>Alternatives are debated. Any possible alternatives to the proposed therapeutic intervention or research study should be discussed with the healthcare provider. This involves supplying information on alternative treatments, procedures, or research possibilities.</w:t>
      </w:r>
      <w:r w:rsidR="00A179DD">
        <w:rPr>
          <w:rFonts w:ascii="Times New Roman" w:hAnsi="Times New Roman" w:cs="Times New Roman"/>
          <w:sz w:val="24"/>
          <w:szCs w:val="24"/>
        </w:rPr>
        <w:t xml:space="preserve"> </w:t>
      </w:r>
    </w:p>
    <w:p w14:paraId="035021B5" w14:textId="77777777" w:rsidR="008A30BC" w:rsidRPr="008A30BC" w:rsidRDefault="008A30BC" w:rsidP="008A30BC">
      <w:pPr>
        <w:spacing w:line="480" w:lineRule="auto"/>
        <w:ind w:firstLine="720"/>
        <w:rPr>
          <w:rFonts w:ascii="Times New Roman" w:hAnsi="Times New Roman" w:cs="Times New Roman"/>
          <w:sz w:val="24"/>
          <w:szCs w:val="24"/>
        </w:rPr>
      </w:pPr>
      <w:r w:rsidRPr="008A30BC">
        <w:rPr>
          <w:rFonts w:ascii="Times New Roman" w:hAnsi="Times New Roman" w:cs="Times New Roman"/>
          <w:sz w:val="24"/>
          <w:szCs w:val="24"/>
        </w:rPr>
        <w:t>Risks and Benefits. The individual should be informed about the potential risks and benefits associated with the clinical intervention or research study. This allows them to evaluate the potential consequences and make an informed decision.</w:t>
      </w:r>
    </w:p>
    <w:p w14:paraId="3429CF8E" w14:textId="77777777" w:rsidR="008A30BC" w:rsidRPr="008A30BC" w:rsidRDefault="008A30BC" w:rsidP="008A30BC">
      <w:pPr>
        <w:spacing w:line="480" w:lineRule="auto"/>
        <w:ind w:firstLine="720"/>
        <w:rPr>
          <w:rFonts w:ascii="Times New Roman" w:hAnsi="Times New Roman" w:cs="Times New Roman"/>
          <w:sz w:val="24"/>
          <w:szCs w:val="24"/>
        </w:rPr>
      </w:pPr>
      <w:r w:rsidRPr="008A30BC">
        <w:rPr>
          <w:rFonts w:ascii="Times New Roman" w:hAnsi="Times New Roman" w:cs="Times New Roman"/>
          <w:sz w:val="24"/>
          <w:szCs w:val="24"/>
        </w:rPr>
        <w:t>Confidentiality and privacy are important. Individuals should be made aware of the confidentiality and privacy policies that apply to their personal health information. They must understand how their data will be handled and safeguarded.</w:t>
      </w:r>
    </w:p>
    <w:p w14:paraId="430C5A46" w14:textId="77777777" w:rsidR="008A30BC" w:rsidRPr="008A30BC" w:rsidRDefault="008A30BC" w:rsidP="008A30BC">
      <w:pPr>
        <w:spacing w:line="480" w:lineRule="auto"/>
        <w:ind w:firstLine="720"/>
        <w:rPr>
          <w:rFonts w:ascii="Times New Roman" w:hAnsi="Times New Roman" w:cs="Times New Roman"/>
          <w:sz w:val="24"/>
          <w:szCs w:val="24"/>
        </w:rPr>
      </w:pPr>
      <w:r w:rsidRPr="008A30BC">
        <w:rPr>
          <w:rFonts w:ascii="Times New Roman" w:hAnsi="Times New Roman" w:cs="Times New Roman"/>
          <w:sz w:val="24"/>
          <w:szCs w:val="24"/>
        </w:rPr>
        <w:t>Documentation. Written informed consent should be obtained. A permission letter signed by the subject or their legally authorized agent expressing their comprehension and agreement to participate is often included.</w:t>
      </w:r>
    </w:p>
    <w:p w14:paraId="4BEFF82F" w14:textId="77777777" w:rsidR="008A30BC" w:rsidRDefault="008A30BC" w:rsidP="006F1F32">
      <w:pPr>
        <w:spacing w:line="480" w:lineRule="auto"/>
        <w:ind w:firstLine="720"/>
        <w:rPr>
          <w:rFonts w:ascii="Times New Roman" w:hAnsi="Times New Roman" w:cs="Times New Roman"/>
          <w:sz w:val="24"/>
          <w:szCs w:val="24"/>
        </w:rPr>
      </w:pPr>
      <w:r w:rsidRPr="008A30BC">
        <w:rPr>
          <w:rFonts w:ascii="Times New Roman" w:hAnsi="Times New Roman" w:cs="Times New Roman"/>
          <w:sz w:val="24"/>
          <w:szCs w:val="24"/>
        </w:rPr>
        <w:lastRenderedPageBreak/>
        <w:t>It is important to highlight that informed consent requirements may differ depending on local laws, regulations, and the unique context of clinical activity. Healthcare workers must follow the laws and ethical norms in their jurisdiction.</w:t>
      </w:r>
    </w:p>
    <w:p w14:paraId="50110B39" w14:textId="77777777" w:rsidR="006F1F32" w:rsidRPr="0042721C" w:rsidRDefault="006F1F32" w:rsidP="006F1F32">
      <w:pPr>
        <w:spacing w:line="480" w:lineRule="auto"/>
        <w:ind w:firstLine="720"/>
        <w:rPr>
          <w:rFonts w:ascii="Times New Roman" w:hAnsi="Times New Roman" w:cs="Times New Roman"/>
          <w:sz w:val="24"/>
          <w:szCs w:val="24"/>
        </w:rPr>
      </w:pPr>
      <w:r w:rsidRPr="0042721C">
        <w:rPr>
          <w:rFonts w:ascii="Times New Roman" w:hAnsi="Times New Roman" w:cs="Times New Roman"/>
          <w:sz w:val="24"/>
          <w:szCs w:val="24"/>
        </w:rPr>
        <w:t>Confidentiality is an important ethical requirement in human services, particularly in clinical work. It builds confidence between clients and professionals, allowing clients to communicate sensitive information without risk of it being revealed to others. However, there may be times when a human services professional must violate confidentiality. These situations are normally governed by legal and ethical norms, which differ depending on the jurisdiction and specific professional code of conduct. Here are some examples of common instances in which confidentiality may be violated:</w:t>
      </w:r>
    </w:p>
    <w:p w14:paraId="38E875FB" w14:textId="77777777" w:rsidR="006F1F32" w:rsidRPr="0042721C" w:rsidRDefault="006F1F32" w:rsidP="006F1F32">
      <w:pPr>
        <w:spacing w:line="480" w:lineRule="auto"/>
        <w:ind w:firstLine="720"/>
        <w:rPr>
          <w:rFonts w:ascii="Times New Roman" w:hAnsi="Times New Roman" w:cs="Times New Roman"/>
          <w:sz w:val="24"/>
          <w:szCs w:val="24"/>
        </w:rPr>
      </w:pPr>
      <w:r w:rsidRPr="0042721C">
        <w:rPr>
          <w:rFonts w:ascii="Times New Roman" w:hAnsi="Times New Roman" w:cs="Times New Roman"/>
          <w:sz w:val="24"/>
          <w:szCs w:val="24"/>
        </w:rPr>
        <w:t>Risk of Harm to Self or Others: A human services professional has a duty to preserve the safety of all persons involved if a client exhibits an imminent threat of harm to themselves or others. This may entail breaching confidentially in order to notify necessary authorities, such as contacting emergency services or notifying potential victims.</w:t>
      </w:r>
    </w:p>
    <w:p w14:paraId="4902E3B8" w14:textId="77777777" w:rsidR="006F1F32" w:rsidRPr="0042721C" w:rsidRDefault="006F1F32" w:rsidP="006F1F32">
      <w:pPr>
        <w:spacing w:line="480" w:lineRule="auto"/>
        <w:ind w:firstLine="720"/>
        <w:rPr>
          <w:rFonts w:ascii="Times New Roman" w:hAnsi="Times New Roman" w:cs="Times New Roman"/>
          <w:sz w:val="24"/>
          <w:szCs w:val="24"/>
        </w:rPr>
      </w:pPr>
      <w:r w:rsidRPr="0042721C">
        <w:rPr>
          <w:rFonts w:ascii="Times New Roman" w:hAnsi="Times New Roman" w:cs="Times New Roman"/>
          <w:sz w:val="24"/>
          <w:szCs w:val="24"/>
        </w:rPr>
        <w:t>Child or Elder Abuse: Human services personnel are mandated reporters, which means they are required by law to report suspected cases of child or elder abuse or neglect to the relevant authorities. This duty takes precedence over the obligation to safeguard client confidentiality.</w:t>
      </w:r>
    </w:p>
    <w:p w14:paraId="0EE6D2E7" w14:textId="77777777" w:rsidR="006F1F32" w:rsidRPr="0042721C" w:rsidRDefault="006F1F32" w:rsidP="006F1F32">
      <w:pPr>
        <w:spacing w:line="480" w:lineRule="auto"/>
        <w:ind w:firstLine="720"/>
        <w:rPr>
          <w:rFonts w:ascii="Times New Roman" w:hAnsi="Times New Roman" w:cs="Times New Roman"/>
          <w:sz w:val="24"/>
          <w:szCs w:val="24"/>
        </w:rPr>
      </w:pPr>
      <w:r w:rsidRPr="0042721C">
        <w:rPr>
          <w:rFonts w:ascii="Times New Roman" w:hAnsi="Times New Roman" w:cs="Times New Roman"/>
          <w:sz w:val="24"/>
          <w:szCs w:val="24"/>
        </w:rPr>
        <w:t>A human services practitioner may be obligated to comply if a court issues a subpoena requesting the disclosure of client information. However, it is generally recommended to get legal advice and clarification on the scope and substance of the information to be released.</w:t>
      </w:r>
    </w:p>
    <w:p w14:paraId="48359F37" w14:textId="77777777" w:rsidR="006F1F32" w:rsidRPr="0042721C" w:rsidRDefault="006F1F32" w:rsidP="006F1F32">
      <w:pPr>
        <w:spacing w:line="480" w:lineRule="auto"/>
        <w:ind w:firstLine="720"/>
        <w:rPr>
          <w:rFonts w:ascii="Times New Roman" w:hAnsi="Times New Roman" w:cs="Times New Roman"/>
          <w:sz w:val="24"/>
          <w:szCs w:val="24"/>
        </w:rPr>
      </w:pPr>
      <w:r w:rsidRPr="0042721C">
        <w:rPr>
          <w:rFonts w:ascii="Times New Roman" w:hAnsi="Times New Roman" w:cs="Times New Roman"/>
          <w:sz w:val="24"/>
          <w:szCs w:val="24"/>
        </w:rPr>
        <w:lastRenderedPageBreak/>
        <w:t>In rare situations, customers may give written informed consent allowing the professional to share their information with particular individuals or groups. Professionals must follow the terms provided in the informed consent document while ensuring that the client understands the risks and advantages of disclosing their information.</w:t>
      </w:r>
    </w:p>
    <w:p w14:paraId="4C29DCC4" w14:textId="77777777" w:rsidR="006F1F32" w:rsidRPr="0042721C" w:rsidRDefault="006F1F32" w:rsidP="006F1F32">
      <w:pPr>
        <w:spacing w:line="480" w:lineRule="auto"/>
        <w:ind w:firstLine="720"/>
        <w:rPr>
          <w:rFonts w:ascii="Times New Roman" w:hAnsi="Times New Roman" w:cs="Times New Roman"/>
          <w:sz w:val="24"/>
          <w:szCs w:val="24"/>
        </w:rPr>
      </w:pPr>
      <w:r w:rsidRPr="0042721C">
        <w:rPr>
          <w:rFonts w:ascii="Times New Roman" w:hAnsi="Times New Roman" w:cs="Times New Roman"/>
          <w:sz w:val="24"/>
          <w:szCs w:val="24"/>
        </w:rPr>
        <w:t>Consultation and Supervision: Human services professionals frequently consult or supervise other professionals in order to improve the quality of their services. Client data may be discussed during these professional engagements. However, it is critical to maintain anonymity during these discussions and only give information that is strictly essential.</w:t>
      </w:r>
    </w:p>
    <w:p w14:paraId="7D073898" w14:textId="77777777" w:rsidR="006F1F32" w:rsidRDefault="006F1F32" w:rsidP="006F1F32">
      <w:pPr>
        <w:spacing w:line="480" w:lineRule="auto"/>
        <w:ind w:firstLine="720"/>
        <w:rPr>
          <w:rFonts w:ascii="Times New Roman" w:hAnsi="Times New Roman" w:cs="Times New Roman"/>
          <w:sz w:val="24"/>
          <w:szCs w:val="24"/>
        </w:rPr>
      </w:pPr>
      <w:r w:rsidRPr="0042721C">
        <w:rPr>
          <w:rFonts w:ascii="Times New Roman" w:hAnsi="Times New Roman" w:cs="Times New Roman"/>
          <w:sz w:val="24"/>
          <w:szCs w:val="24"/>
        </w:rPr>
        <w:t>When faced with potential breaches of confidentiality, human services workers must have a comprehensive awareness of the unique legal and ethical principles applicable to their practice and consult with supervisors, professional organizations, and legal experts. Maintaining customers' privacy and confidence is always a priority, but certain circumstances may necessitate the disclosure of personal information in order to preserve the welfare of clients or others.</w:t>
      </w:r>
    </w:p>
    <w:p w14:paraId="191326EB" w14:textId="77777777" w:rsidR="00FC5329" w:rsidRPr="00FC5329" w:rsidRDefault="00FC5329" w:rsidP="00FC5329">
      <w:pPr>
        <w:spacing w:line="480" w:lineRule="auto"/>
        <w:ind w:firstLine="720"/>
        <w:rPr>
          <w:rFonts w:ascii="Times New Roman" w:hAnsi="Times New Roman" w:cs="Times New Roman"/>
          <w:sz w:val="24"/>
          <w:szCs w:val="24"/>
        </w:rPr>
      </w:pPr>
      <w:r w:rsidRPr="00FC5329">
        <w:rPr>
          <w:rFonts w:ascii="Times New Roman" w:hAnsi="Times New Roman" w:cs="Times New Roman"/>
          <w:sz w:val="24"/>
          <w:szCs w:val="24"/>
        </w:rPr>
        <w:t>The duty to warn is a legal and ethical notion that refers to experts' obligation to reveal information that has the potential to hurt or endanger others. When a professional becomes aware of a substantial and predictable threat to an identifiable individual or group, this obligation often emerges.</w:t>
      </w:r>
    </w:p>
    <w:p w14:paraId="0EC8B70D" w14:textId="77777777" w:rsidR="00FC5329" w:rsidRPr="00FC5329" w:rsidRDefault="00FC5329" w:rsidP="00FC5329">
      <w:pPr>
        <w:spacing w:line="480" w:lineRule="auto"/>
        <w:ind w:firstLine="720"/>
        <w:rPr>
          <w:rFonts w:ascii="Times New Roman" w:hAnsi="Times New Roman" w:cs="Times New Roman"/>
          <w:sz w:val="24"/>
          <w:szCs w:val="24"/>
        </w:rPr>
      </w:pPr>
      <w:r w:rsidRPr="00FC5329">
        <w:rPr>
          <w:rFonts w:ascii="Times New Roman" w:hAnsi="Times New Roman" w:cs="Times New Roman"/>
          <w:sz w:val="24"/>
          <w:szCs w:val="24"/>
        </w:rPr>
        <w:t>The obligation to warn can be especially important in the context of professionals working with HIV-positive clients. HIV is a serious medical condition with major consequences for both the individual and their sexual partners or close acquaintances. Professionals who are aware of their client's HIV status may be obligated to tell those who are at risk of catching the infection.</w:t>
      </w:r>
    </w:p>
    <w:p w14:paraId="4523319C" w14:textId="77777777" w:rsidR="00FC5329" w:rsidRPr="00FC5329" w:rsidRDefault="00FC5329" w:rsidP="00FC5329">
      <w:pPr>
        <w:spacing w:line="480" w:lineRule="auto"/>
        <w:ind w:firstLine="720"/>
        <w:rPr>
          <w:rFonts w:ascii="Times New Roman" w:hAnsi="Times New Roman" w:cs="Times New Roman"/>
          <w:sz w:val="24"/>
          <w:szCs w:val="24"/>
        </w:rPr>
      </w:pPr>
      <w:r w:rsidRPr="00FC5329">
        <w:rPr>
          <w:rFonts w:ascii="Times New Roman" w:hAnsi="Times New Roman" w:cs="Times New Roman"/>
          <w:sz w:val="24"/>
          <w:szCs w:val="24"/>
        </w:rPr>
        <w:lastRenderedPageBreak/>
        <w:t>Several factors may influence the responsibility to warn in the context of HIV-positive customers, including:</w:t>
      </w:r>
    </w:p>
    <w:p w14:paraId="7232F6E0" w14:textId="77777777" w:rsidR="00FC5329" w:rsidRPr="00FC5329" w:rsidRDefault="00FC5329" w:rsidP="00FC5329">
      <w:pPr>
        <w:spacing w:line="480" w:lineRule="auto"/>
        <w:ind w:firstLine="720"/>
        <w:rPr>
          <w:rFonts w:ascii="Times New Roman" w:hAnsi="Times New Roman" w:cs="Times New Roman"/>
          <w:sz w:val="24"/>
          <w:szCs w:val="24"/>
        </w:rPr>
      </w:pPr>
      <w:r w:rsidRPr="00FC5329">
        <w:rPr>
          <w:rFonts w:ascii="Times New Roman" w:hAnsi="Times New Roman" w:cs="Times New Roman"/>
          <w:sz w:val="24"/>
          <w:szCs w:val="24"/>
        </w:rPr>
        <w:t>Legal obligations: Different jurisdictions may have different laws or rules governing the responsibility to warn in HIV instances. To ensure compliance, professionals should get familiar with the legal requirements in their jurisdiction.</w:t>
      </w:r>
    </w:p>
    <w:p w14:paraId="2835DAF9" w14:textId="77777777" w:rsidR="00FC5329" w:rsidRPr="00FC5329" w:rsidRDefault="00FC5329" w:rsidP="00FC5329">
      <w:pPr>
        <w:spacing w:line="480" w:lineRule="auto"/>
        <w:ind w:firstLine="720"/>
        <w:rPr>
          <w:rFonts w:ascii="Times New Roman" w:hAnsi="Times New Roman" w:cs="Times New Roman"/>
          <w:sz w:val="24"/>
          <w:szCs w:val="24"/>
        </w:rPr>
      </w:pPr>
      <w:r w:rsidRPr="00FC5329">
        <w:rPr>
          <w:rFonts w:ascii="Times New Roman" w:hAnsi="Times New Roman" w:cs="Times New Roman"/>
          <w:sz w:val="24"/>
          <w:szCs w:val="24"/>
        </w:rPr>
        <w:t>Predictable danger of harm: In general, the obligation to warn arises where there is a foreseeable risk of harm to others. In the case of HIV, a professional may have a duty to warn people who may be at risk if they know or have reason to think that their client is engaged in actions that could spread the virus to others.</w:t>
      </w:r>
    </w:p>
    <w:p w14:paraId="351E5601" w14:textId="77777777" w:rsidR="00FC5329" w:rsidRPr="00FC5329" w:rsidRDefault="00FC5329" w:rsidP="00FC5329">
      <w:pPr>
        <w:spacing w:line="480" w:lineRule="auto"/>
        <w:ind w:firstLine="720"/>
        <w:rPr>
          <w:rFonts w:ascii="Times New Roman" w:hAnsi="Times New Roman" w:cs="Times New Roman"/>
          <w:sz w:val="24"/>
          <w:szCs w:val="24"/>
        </w:rPr>
      </w:pPr>
      <w:r w:rsidRPr="00FC5329">
        <w:rPr>
          <w:rFonts w:ascii="Times New Roman" w:hAnsi="Times New Roman" w:cs="Times New Roman"/>
          <w:sz w:val="24"/>
          <w:szCs w:val="24"/>
        </w:rPr>
        <w:t>Balancing confidentiality and public health: Professionals who work with HIV-positive clients must strike a careful balance between client confidentiality and public health. While client confidentiality is essential, public health reasons may warrant violating confidentiality in specific cases to prevent HIV transmission.</w:t>
      </w:r>
    </w:p>
    <w:p w14:paraId="67D62C24" w14:textId="77777777" w:rsidR="00FC5329" w:rsidRPr="00FC5329" w:rsidRDefault="00FC5329" w:rsidP="00FC5329">
      <w:pPr>
        <w:spacing w:line="480" w:lineRule="auto"/>
        <w:ind w:firstLine="720"/>
        <w:rPr>
          <w:rFonts w:ascii="Times New Roman" w:hAnsi="Times New Roman" w:cs="Times New Roman"/>
          <w:sz w:val="24"/>
          <w:szCs w:val="24"/>
        </w:rPr>
      </w:pPr>
      <w:r w:rsidRPr="00FC5329">
        <w:rPr>
          <w:rFonts w:ascii="Times New Roman" w:hAnsi="Times New Roman" w:cs="Times New Roman"/>
          <w:sz w:val="24"/>
          <w:szCs w:val="24"/>
        </w:rPr>
        <w:t>It is critical that professionals who work with HIV-positive individuals understand their legal and ethical obligations surrounding the duty to warn. When confronted with complex problems, they should stay current on current norms and legislation in their authority and seek supervision or consultation.</w:t>
      </w:r>
    </w:p>
    <w:p w14:paraId="1E6861BB" w14:textId="77777777" w:rsidR="00FC5329" w:rsidRPr="00FC5329" w:rsidRDefault="00FC5329" w:rsidP="00FC5329">
      <w:pPr>
        <w:spacing w:line="480" w:lineRule="auto"/>
        <w:ind w:firstLine="720"/>
        <w:rPr>
          <w:rFonts w:ascii="Times New Roman" w:hAnsi="Times New Roman" w:cs="Times New Roman"/>
          <w:sz w:val="24"/>
          <w:szCs w:val="24"/>
        </w:rPr>
      </w:pPr>
      <w:r w:rsidRPr="00FC5329">
        <w:rPr>
          <w:rFonts w:ascii="Times New Roman" w:hAnsi="Times New Roman" w:cs="Times New Roman"/>
          <w:sz w:val="24"/>
          <w:szCs w:val="24"/>
        </w:rPr>
        <w:t>Furthermore, professionals can help their clients make educated decisions regarding disclosing their HIV status to sexual partners or close contacts by providing education, support, and resources. Professionals can help reduce the risk of transmission by educating their customers and encouraging responsible behavior, while also honoring their duty to warn when necessary.</w:t>
      </w:r>
    </w:p>
    <w:p w14:paraId="257A180E" w14:textId="77777777" w:rsidR="00FC5329" w:rsidRDefault="00FC5329" w:rsidP="00FC5329">
      <w:pPr>
        <w:spacing w:line="480" w:lineRule="auto"/>
        <w:ind w:firstLine="720"/>
        <w:rPr>
          <w:rFonts w:ascii="Times New Roman" w:hAnsi="Times New Roman" w:cs="Times New Roman"/>
          <w:sz w:val="24"/>
          <w:szCs w:val="24"/>
        </w:rPr>
      </w:pPr>
      <w:r w:rsidRPr="00FC5329">
        <w:rPr>
          <w:rFonts w:ascii="Times New Roman" w:hAnsi="Times New Roman" w:cs="Times New Roman"/>
          <w:sz w:val="24"/>
          <w:szCs w:val="24"/>
        </w:rPr>
        <w:lastRenderedPageBreak/>
        <w:t>While this response provides an overview of the duty to warn in the context of HIV, precise legal and ethical requirements can vary based on jurisdiction and professional rules of conduct. Professionals should always consult the appropriate rules and regulations and seek information from relevant authorities or professional associations.</w:t>
      </w:r>
    </w:p>
    <w:p w14:paraId="57F991BF" w14:textId="77777777" w:rsidR="00FC5329" w:rsidRDefault="00FC5329">
      <w:pPr>
        <w:rPr>
          <w:rFonts w:ascii="Times New Roman" w:hAnsi="Times New Roman" w:cs="Times New Roman"/>
          <w:sz w:val="24"/>
          <w:szCs w:val="24"/>
        </w:rPr>
      </w:pPr>
      <w:r>
        <w:rPr>
          <w:rFonts w:ascii="Times New Roman" w:hAnsi="Times New Roman" w:cs="Times New Roman"/>
          <w:sz w:val="24"/>
          <w:szCs w:val="24"/>
        </w:rPr>
        <w:br w:type="page"/>
      </w:r>
    </w:p>
    <w:p w14:paraId="1C59433A" w14:textId="77777777" w:rsidR="00FC5329" w:rsidRDefault="00FC5329" w:rsidP="00992A61">
      <w:pPr>
        <w:spacing w:line="480" w:lineRule="auto"/>
        <w:ind w:left="720" w:hanging="720"/>
        <w:jc w:val="center"/>
        <w:rPr>
          <w:rFonts w:ascii="Times New Roman" w:hAnsi="Times New Roman" w:cs="Times New Roman"/>
          <w:sz w:val="24"/>
          <w:szCs w:val="24"/>
        </w:rPr>
      </w:pPr>
      <w:r>
        <w:rPr>
          <w:rFonts w:ascii="Times New Roman" w:hAnsi="Times New Roman" w:cs="Times New Roman"/>
          <w:sz w:val="24"/>
          <w:szCs w:val="24"/>
        </w:rPr>
        <w:lastRenderedPageBreak/>
        <w:t>Work</w:t>
      </w:r>
      <w:r w:rsidR="000044B9">
        <w:rPr>
          <w:rFonts w:ascii="Times New Roman" w:hAnsi="Times New Roman" w:cs="Times New Roman"/>
          <w:sz w:val="24"/>
          <w:szCs w:val="24"/>
        </w:rPr>
        <w:t>s</w:t>
      </w:r>
      <w:r>
        <w:rPr>
          <w:rFonts w:ascii="Times New Roman" w:hAnsi="Times New Roman" w:cs="Times New Roman"/>
          <w:sz w:val="24"/>
          <w:szCs w:val="24"/>
        </w:rPr>
        <w:t xml:space="preserve"> Cited</w:t>
      </w:r>
    </w:p>
    <w:tbl>
      <w:tblPr>
        <w:tblW w:w="6570" w:type="dxa"/>
        <w:shd w:val="clear" w:color="auto" w:fill="FFFFFF"/>
        <w:tblCellMar>
          <w:left w:w="0" w:type="dxa"/>
          <w:right w:w="0" w:type="dxa"/>
        </w:tblCellMar>
        <w:tblLook w:val="04A0" w:firstRow="1" w:lastRow="0" w:firstColumn="1" w:lastColumn="0" w:noHBand="0" w:noVBand="1"/>
      </w:tblPr>
      <w:tblGrid>
        <w:gridCol w:w="6582"/>
        <w:gridCol w:w="6"/>
      </w:tblGrid>
      <w:tr w:rsidR="00A179DD" w:rsidRPr="0019746C" w14:paraId="44C47619" w14:textId="77777777" w:rsidTr="0078662D">
        <w:trPr>
          <w:gridAfter w:val="1"/>
        </w:trPr>
        <w:tc>
          <w:tcPr>
            <w:tcW w:w="0" w:type="auto"/>
            <w:shd w:val="clear" w:color="auto" w:fill="FFFFFF"/>
            <w:vAlign w:val="center"/>
            <w:hideMark/>
          </w:tcPr>
          <w:p w14:paraId="2774BEB2" w14:textId="77777777" w:rsidR="00A179DD" w:rsidRPr="0019746C" w:rsidRDefault="00A179DD" w:rsidP="0078662D">
            <w:pPr>
              <w:spacing w:after="0" w:line="240" w:lineRule="auto"/>
              <w:rPr>
                <w:rFonts w:ascii="Times New Roman" w:eastAsia="Times New Roman" w:hAnsi="Times New Roman" w:cs="Times New Roman"/>
                <w:sz w:val="24"/>
                <w:szCs w:val="24"/>
              </w:rPr>
            </w:pPr>
          </w:p>
        </w:tc>
      </w:tr>
      <w:tr w:rsidR="00A179DD" w:rsidRPr="0019746C" w14:paraId="62752398" w14:textId="77777777" w:rsidTr="0078662D">
        <w:trPr>
          <w:gridAfter w:val="1"/>
        </w:trPr>
        <w:tc>
          <w:tcPr>
            <w:tcW w:w="0" w:type="auto"/>
            <w:shd w:val="clear" w:color="auto" w:fill="FFFFFF"/>
            <w:tcMar>
              <w:top w:w="120" w:type="dxa"/>
              <w:left w:w="0" w:type="dxa"/>
              <w:bottom w:w="120" w:type="dxa"/>
              <w:right w:w="0" w:type="dxa"/>
            </w:tcMar>
            <w:hideMark/>
          </w:tcPr>
          <w:p w14:paraId="3FF38934" w14:textId="77777777" w:rsidR="00A179DD" w:rsidRDefault="00A179DD" w:rsidP="00992A61">
            <w:pPr>
              <w:spacing w:after="0" w:line="480" w:lineRule="auto"/>
              <w:ind w:left="720" w:hanging="720"/>
              <w:rPr>
                <w:rFonts w:ascii="Times New Roman" w:eastAsia="Times New Roman" w:hAnsi="Times New Roman" w:cs="Times New Roman"/>
                <w:color w:val="222222"/>
                <w:sz w:val="24"/>
                <w:szCs w:val="24"/>
              </w:rPr>
            </w:pPr>
            <w:r w:rsidRPr="0019746C">
              <w:rPr>
                <w:rFonts w:ascii="Times New Roman" w:eastAsia="Times New Roman" w:hAnsi="Times New Roman" w:cs="Times New Roman"/>
                <w:color w:val="222222"/>
                <w:sz w:val="24"/>
                <w:szCs w:val="24"/>
              </w:rPr>
              <w:t>Ross, Catherine E., et al. "Community consultation in the pediatric intensive care unit for an exception from informed consent Trial: A survey of patient caregivers." </w:t>
            </w:r>
            <w:r w:rsidRPr="0019746C">
              <w:rPr>
                <w:rFonts w:ascii="Times New Roman" w:eastAsia="Times New Roman" w:hAnsi="Times New Roman" w:cs="Times New Roman"/>
                <w:i/>
                <w:iCs/>
                <w:color w:val="222222"/>
                <w:sz w:val="24"/>
                <w:szCs w:val="24"/>
              </w:rPr>
              <w:t>Resuscitation Plus</w:t>
            </w:r>
            <w:r w:rsidRPr="0019746C">
              <w:rPr>
                <w:rFonts w:ascii="Times New Roman" w:eastAsia="Times New Roman" w:hAnsi="Times New Roman" w:cs="Times New Roman"/>
                <w:color w:val="222222"/>
                <w:sz w:val="24"/>
                <w:szCs w:val="24"/>
              </w:rPr>
              <w:t> 13 (2023): 100355.</w:t>
            </w:r>
          </w:p>
          <w:p w14:paraId="7CE36DD9" w14:textId="77777777" w:rsidR="00A179DD" w:rsidRDefault="00A179DD" w:rsidP="0078662D">
            <w:pPr>
              <w:spacing w:after="0" w:line="480" w:lineRule="auto"/>
              <w:rPr>
                <w:rFonts w:ascii="Times New Roman" w:eastAsia="Times New Roman" w:hAnsi="Times New Roman" w:cs="Times New Roman"/>
                <w:color w:val="222222"/>
                <w:sz w:val="24"/>
                <w:szCs w:val="24"/>
              </w:rPr>
            </w:pPr>
          </w:p>
          <w:tbl>
            <w:tblPr>
              <w:tblW w:w="6570" w:type="dxa"/>
              <w:shd w:val="clear" w:color="auto" w:fill="FFFFFF"/>
              <w:tblCellMar>
                <w:left w:w="0" w:type="dxa"/>
                <w:right w:w="0" w:type="dxa"/>
              </w:tblCellMar>
              <w:tblLook w:val="04A0" w:firstRow="1" w:lastRow="0" w:firstColumn="1" w:lastColumn="0" w:noHBand="0" w:noVBand="1"/>
            </w:tblPr>
            <w:tblGrid>
              <w:gridCol w:w="6576"/>
              <w:gridCol w:w="6"/>
            </w:tblGrid>
            <w:tr w:rsidR="00A179DD" w:rsidRPr="0019746C" w14:paraId="04175FC3" w14:textId="77777777" w:rsidTr="0078662D">
              <w:trPr>
                <w:gridAfter w:val="1"/>
              </w:trPr>
              <w:tc>
                <w:tcPr>
                  <w:tcW w:w="0" w:type="auto"/>
                  <w:shd w:val="clear" w:color="auto" w:fill="FFFFFF"/>
                  <w:vAlign w:val="center"/>
                  <w:hideMark/>
                </w:tcPr>
                <w:p w14:paraId="3BFA157E" w14:textId="77777777" w:rsidR="00A179DD" w:rsidRPr="0019746C" w:rsidRDefault="00A179DD" w:rsidP="0078662D">
                  <w:pPr>
                    <w:spacing w:after="0" w:line="240" w:lineRule="auto"/>
                    <w:rPr>
                      <w:rFonts w:ascii="Times New Roman" w:eastAsia="Times New Roman" w:hAnsi="Times New Roman" w:cs="Times New Roman"/>
                      <w:sz w:val="24"/>
                      <w:szCs w:val="24"/>
                    </w:rPr>
                  </w:pPr>
                </w:p>
              </w:tc>
            </w:tr>
            <w:tr w:rsidR="00A179DD" w:rsidRPr="0019746C" w14:paraId="1C1EBF52" w14:textId="77777777" w:rsidTr="0078662D">
              <w:trPr>
                <w:gridAfter w:val="1"/>
              </w:trPr>
              <w:tc>
                <w:tcPr>
                  <w:tcW w:w="0" w:type="auto"/>
                  <w:shd w:val="clear" w:color="auto" w:fill="FFFFFF"/>
                  <w:tcMar>
                    <w:top w:w="120" w:type="dxa"/>
                    <w:left w:w="0" w:type="dxa"/>
                    <w:bottom w:w="120" w:type="dxa"/>
                    <w:right w:w="0" w:type="dxa"/>
                  </w:tcMar>
                  <w:hideMark/>
                </w:tcPr>
                <w:p w14:paraId="0FC17F47" w14:textId="77777777" w:rsidR="00A179DD" w:rsidRDefault="00A179DD" w:rsidP="00992A61">
                  <w:pPr>
                    <w:spacing w:after="0" w:line="480" w:lineRule="auto"/>
                    <w:ind w:left="720" w:hanging="720"/>
                    <w:rPr>
                      <w:rFonts w:ascii="Times New Roman" w:eastAsia="Times New Roman" w:hAnsi="Times New Roman" w:cs="Times New Roman"/>
                      <w:color w:val="222222"/>
                      <w:sz w:val="24"/>
                      <w:szCs w:val="24"/>
                    </w:rPr>
                  </w:pPr>
                  <w:proofErr w:type="spellStart"/>
                  <w:r w:rsidRPr="0019746C">
                    <w:rPr>
                      <w:rFonts w:ascii="Times New Roman" w:eastAsia="Times New Roman" w:hAnsi="Times New Roman" w:cs="Times New Roman"/>
                      <w:color w:val="222222"/>
                      <w:sz w:val="24"/>
                      <w:szCs w:val="24"/>
                    </w:rPr>
                    <w:t>Eg</w:t>
                  </w:r>
                  <w:proofErr w:type="spellEnd"/>
                  <w:r w:rsidRPr="0019746C">
                    <w:rPr>
                      <w:rFonts w:ascii="Times New Roman" w:eastAsia="Times New Roman" w:hAnsi="Times New Roman" w:cs="Times New Roman"/>
                      <w:color w:val="222222"/>
                      <w:sz w:val="24"/>
                      <w:szCs w:val="24"/>
                    </w:rPr>
                    <w:t>, Marianne, and Claus Sixtus Jensen. "The challenges of maintaining patient confidentiality in pediatric settings." </w:t>
                  </w:r>
                  <w:r w:rsidRPr="0019746C">
                    <w:rPr>
                      <w:rFonts w:ascii="Times New Roman" w:eastAsia="Times New Roman" w:hAnsi="Times New Roman" w:cs="Times New Roman"/>
                      <w:i/>
                      <w:iCs/>
                      <w:color w:val="222222"/>
                      <w:sz w:val="24"/>
                      <w:szCs w:val="24"/>
                    </w:rPr>
                    <w:t>Journal of Pediatric Nursing</w:t>
                  </w:r>
                  <w:r w:rsidRPr="0019746C">
                    <w:rPr>
                      <w:rFonts w:ascii="Times New Roman" w:eastAsia="Times New Roman" w:hAnsi="Times New Roman" w:cs="Times New Roman"/>
                      <w:color w:val="222222"/>
                      <w:sz w:val="24"/>
                      <w:szCs w:val="24"/>
                    </w:rPr>
                    <w:t> 69 (2023): 18-23.</w:t>
                  </w:r>
                </w:p>
                <w:p w14:paraId="0D3C8C8E" w14:textId="77777777" w:rsidR="00A179DD" w:rsidRDefault="00A179DD" w:rsidP="0078662D">
                  <w:pPr>
                    <w:spacing w:after="0" w:line="480" w:lineRule="auto"/>
                    <w:rPr>
                      <w:rFonts w:ascii="Times New Roman" w:eastAsia="Times New Roman" w:hAnsi="Times New Roman" w:cs="Times New Roman"/>
                      <w:color w:val="222222"/>
                      <w:sz w:val="24"/>
                      <w:szCs w:val="24"/>
                    </w:rPr>
                  </w:pPr>
                </w:p>
                <w:tbl>
                  <w:tblPr>
                    <w:tblW w:w="6570" w:type="dxa"/>
                    <w:shd w:val="clear" w:color="auto" w:fill="FFFFFF"/>
                    <w:tblCellMar>
                      <w:left w:w="0" w:type="dxa"/>
                      <w:right w:w="0" w:type="dxa"/>
                    </w:tblCellMar>
                    <w:tblLook w:val="04A0" w:firstRow="1" w:lastRow="0" w:firstColumn="1" w:lastColumn="0" w:noHBand="0" w:noVBand="1"/>
                  </w:tblPr>
                  <w:tblGrid>
                    <w:gridCol w:w="6570"/>
                    <w:gridCol w:w="6"/>
                  </w:tblGrid>
                  <w:tr w:rsidR="00A179DD" w:rsidRPr="0019746C" w14:paraId="0E2D6B60" w14:textId="77777777" w:rsidTr="00A179DD">
                    <w:trPr>
                      <w:gridAfter w:val="1"/>
                      <w:trHeight w:val="87"/>
                    </w:trPr>
                    <w:tc>
                      <w:tcPr>
                        <w:tcW w:w="0" w:type="auto"/>
                        <w:shd w:val="clear" w:color="auto" w:fill="FFFFFF"/>
                        <w:vAlign w:val="center"/>
                        <w:hideMark/>
                      </w:tcPr>
                      <w:p w14:paraId="66E8DB2E" w14:textId="77777777" w:rsidR="00A179DD" w:rsidRPr="0019746C" w:rsidRDefault="00A179DD" w:rsidP="0078662D">
                        <w:pPr>
                          <w:spacing w:after="0" w:line="240" w:lineRule="auto"/>
                          <w:rPr>
                            <w:rFonts w:ascii="Times New Roman" w:eastAsia="Times New Roman" w:hAnsi="Times New Roman" w:cs="Times New Roman"/>
                            <w:sz w:val="24"/>
                            <w:szCs w:val="24"/>
                          </w:rPr>
                        </w:pPr>
                      </w:p>
                    </w:tc>
                  </w:tr>
                  <w:tr w:rsidR="00A179DD" w:rsidRPr="0019746C" w14:paraId="02AAB49D" w14:textId="77777777" w:rsidTr="0078662D">
                    <w:trPr>
                      <w:gridAfter w:val="1"/>
                    </w:trPr>
                    <w:tc>
                      <w:tcPr>
                        <w:tcW w:w="0" w:type="auto"/>
                        <w:shd w:val="clear" w:color="auto" w:fill="FFFFFF"/>
                        <w:tcMar>
                          <w:top w:w="120" w:type="dxa"/>
                          <w:left w:w="0" w:type="dxa"/>
                          <w:bottom w:w="120" w:type="dxa"/>
                          <w:right w:w="0" w:type="dxa"/>
                        </w:tcMar>
                        <w:hideMark/>
                      </w:tcPr>
                      <w:p w14:paraId="7F7CF86B" w14:textId="77777777" w:rsidR="00A179DD" w:rsidRDefault="00A179DD" w:rsidP="00992A61">
                        <w:pPr>
                          <w:spacing w:after="0" w:line="480" w:lineRule="auto"/>
                          <w:ind w:left="720" w:hanging="720"/>
                          <w:rPr>
                            <w:rFonts w:ascii="Times New Roman" w:eastAsia="Times New Roman" w:hAnsi="Times New Roman" w:cs="Times New Roman"/>
                            <w:color w:val="222222"/>
                            <w:sz w:val="24"/>
                            <w:szCs w:val="24"/>
                          </w:rPr>
                        </w:pPr>
                        <w:r w:rsidRPr="0019746C">
                          <w:rPr>
                            <w:rFonts w:ascii="Times New Roman" w:eastAsia="Times New Roman" w:hAnsi="Times New Roman" w:cs="Times New Roman"/>
                            <w:color w:val="222222"/>
                            <w:sz w:val="24"/>
                            <w:szCs w:val="24"/>
                          </w:rPr>
                          <w:t>Baumgartner, Renate. "Personalized HIV treatment: Bringing marginalized patients to the forefront with situational analysis." </w:t>
                        </w:r>
                        <w:r w:rsidRPr="0019746C">
                          <w:rPr>
                            <w:rFonts w:ascii="Times New Roman" w:eastAsia="Times New Roman" w:hAnsi="Times New Roman" w:cs="Times New Roman"/>
                            <w:i/>
                            <w:iCs/>
                            <w:color w:val="222222"/>
                            <w:sz w:val="24"/>
                            <w:szCs w:val="24"/>
                          </w:rPr>
                          <w:t xml:space="preserve">Forum Qualitative </w:t>
                        </w:r>
                        <w:proofErr w:type="spellStart"/>
                        <w:r w:rsidRPr="0019746C">
                          <w:rPr>
                            <w:rFonts w:ascii="Times New Roman" w:eastAsia="Times New Roman" w:hAnsi="Times New Roman" w:cs="Times New Roman"/>
                            <w:i/>
                            <w:iCs/>
                            <w:color w:val="222222"/>
                            <w:sz w:val="24"/>
                            <w:szCs w:val="24"/>
                          </w:rPr>
                          <w:t>Sozialforschung</w:t>
                        </w:r>
                        <w:proofErr w:type="spellEnd"/>
                        <w:r w:rsidRPr="0019746C">
                          <w:rPr>
                            <w:rFonts w:ascii="Times New Roman" w:eastAsia="Times New Roman" w:hAnsi="Times New Roman" w:cs="Times New Roman"/>
                            <w:i/>
                            <w:iCs/>
                            <w:color w:val="222222"/>
                            <w:sz w:val="24"/>
                            <w:szCs w:val="24"/>
                          </w:rPr>
                          <w:t>/Forum: Qualitative Social Research</w:t>
                        </w:r>
                        <w:r w:rsidRPr="0019746C">
                          <w:rPr>
                            <w:rFonts w:ascii="Times New Roman" w:eastAsia="Times New Roman" w:hAnsi="Times New Roman" w:cs="Times New Roman"/>
                            <w:color w:val="222222"/>
                            <w:sz w:val="24"/>
                            <w:szCs w:val="24"/>
                          </w:rPr>
                          <w:t>. Vol. 24. No. 2. 2023.</w:t>
                        </w:r>
                      </w:p>
                      <w:p w14:paraId="78532A10" w14:textId="77777777" w:rsidR="00A179DD" w:rsidRDefault="00A179DD" w:rsidP="0078662D">
                        <w:pPr>
                          <w:spacing w:after="0" w:line="480" w:lineRule="auto"/>
                          <w:rPr>
                            <w:rFonts w:ascii="Times New Roman" w:eastAsia="Times New Roman" w:hAnsi="Times New Roman" w:cs="Times New Roman"/>
                            <w:color w:val="222222"/>
                            <w:sz w:val="24"/>
                            <w:szCs w:val="24"/>
                          </w:rPr>
                        </w:pPr>
                      </w:p>
                      <w:tbl>
                        <w:tblPr>
                          <w:tblW w:w="6570" w:type="dxa"/>
                          <w:shd w:val="clear" w:color="auto" w:fill="FFFFFF"/>
                          <w:tblCellMar>
                            <w:left w:w="0" w:type="dxa"/>
                            <w:right w:w="0" w:type="dxa"/>
                          </w:tblCellMar>
                          <w:tblLook w:val="04A0" w:firstRow="1" w:lastRow="0" w:firstColumn="1" w:lastColumn="0" w:noHBand="0" w:noVBand="1"/>
                        </w:tblPr>
                        <w:tblGrid>
                          <w:gridCol w:w="6564"/>
                          <w:gridCol w:w="6"/>
                        </w:tblGrid>
                        <w:tr w:rsidR="00A179DD" w:rsidRPr="00D30097" w14:paraId="6BB60E9D" w14:textId="77777777" w:rsidTr="0078662D">
                          <w:trPr>
                            <w:gridAfter w:val="1"/>
                          </w:trPr>
                          <w:tc>
                            <w:tcPr>
                              <w:tcW w:w="0" w:type="auto"/>
                              <w:shd w:val="clear" w:color="auto" w:fill="FFFFFF"/>
                              <w:vAlign w:val="center"/>
                              <w:hideMark/>
                            </w:tcPr>
                            <w:p w14:paraId="29819822" w14:textId="77777777" w:rsidR="00A179DD" w:rsidRPr="00D30097" w:rsidRDefault="00A179DD" w:rsidP="0078662D">
                              <w:pPr>
                                <w:spacing w:after="0" w:line="240" w:lineRule="auto"/>
                                <w:rPr>
                                  <w:rFonts w:ascii="Times New Roman" w:eastAsia="Times New Roman" w:hAnsi="Times New Roman" w:cs="Times New Roman"/>
                                  <w:sz w:val="24"/>
                                  <w:szCs w:val="24"/>
                                </w:rPr>
                              </w:pPr>
                            </w:p>
                          </w:tc>
                        </w:tr>
                        <w:tr w:rsidR="00A179DD" w:rsidRPr="00D30097" w14:paraId="4F58A2BB" w14:textId="77777777" w:rsidTr="0078662D">
                          <w:trPr>
                            <w:gridAfter w:val="1"/>
                          </w:trPr>
                          <w:tc>
                            <w:tcPr>
                              <w:tcW w:w="0" w:type="auto"/>
                              <w:shd w:val="clear" w:color="auto" w:fill="FFFFFF"/>
                              <w:tcMar>
                                <w:top w:w="120" w:type="dxa"/>
                                <w:left w:w="0" w:type="dxa"/>
                                <w:bottom w:w="120" w:type="dxa"/>
                                <w:right w:w="0" w:type="dxa"/>
                              </w:tcMar>
                              <w:hideMark/>
                            </w:tcPr>
                            <w:p w14:paraId="425B9B11" w14:textId="77777777" w:rsidR="00076531" w:rsidRPr="00D30097" w:rsidRDefault="00A179DD" w:rsidP="00992A61">
                              <w:pPr>
                                <w:spacing w:after="0" w:line="480" w:lineRule="auto"/>
                                <w:ind w:left="720" w:hanging="720"/>
                                <w:rPr>
                                  <w:rFonts w:ascii="Times New Roman" w:eastAsia="Times New Roman" w:hAnsi="Times New Roman" w:cs="Times New Roman"/>
                                  <w:color w:val="222222"/>
                                  <w:sz w:val="24"/>
                                  <w:szCs w:val="24"/>
                                </w:rPr>
                              </w:pPr>
                              <w:r w:rsidRPr="00D30097">
                                <w:rPr>
                                  <w:rFonts w:ascii="Times New Roman" w:eastAsia="Times New Roman" w:hAnsi="Times New Roman" w:cs="Times New Roman"/>
                                  <w:color w:val="222222"/>
                                  <w:sz w:val="24"/>
                                  <w:szCs w:val="24"/>
                                </w:rPr>
                                <w:t>Schmitt, Ara J., et al. "Fostering socially responsive evaluation in health service psychology." </w:t>
                              </w:r>
                              <w:r w:rsidRPr="00D30097">
                                <w:rPr>
                                  <w:rFonts w:ascii="Times New Roman" w:eastAsia="Times New Roman" w:hAnsi="Times New Roman" w:cs="Times New Roman"/>
                                  <w:i/>
                                  <w:iCs/>
                                  <w:color w:val="222222"/>
                                  <w:sz w:val="24"/>
                                  <w:szCs w:val="24"/>
                                </w:rPr>
                                <w:t>Professional Psychology: Research and Practice</w:t>
                              </w:r>
                              <w:r w:rsidRPr="00D30097">
                                <w:rPr>
                                  <w:rFonts w:ascii="Times New Roman" w:eastAsia="Times New Roman" w:hAnsi="Times New Roman" w:cs="Times New Roman"/>
                                  <w:color w:val="222222"/>
                                  <w:sz w:val="24"/>
                                  <w:szCs w:val="24"/>
                                </w:rPr>
                                <w:t> 54.1 (2023): 28</w:t>
                              </w:r>
                              <w:r w:rsidR="00992A61">
                                <w:rPr>
                                  <w:rFonts w:ascii="Times New Roman" w:eastAsia="Times New Roman" w:hAnsi="Times New Roman" w:cs="Times New Roman"/>
                                  <w:color w:val="222222"/>
                                  <w:sz w:val="24"/>
                                  <w:szCs w:val="24"/>
                                </w:rPr>
                                <w:t>.</w:t>
                              </w:r>
                            </w:p>
                          </w:tc>
                        </w:tr>
                        <w:tr w:rsidR="00A179DD" w:rsidRPr="00D30097" w14:paraId="6DE37333" w14:textId="77777777" w:rsidTr="0078662D">
                          <w:tc>
                            <w:tcPr>
                              <w:tcW w:w="0" w:type="auto"/>
                              <w:shd w:val="clear" w:color="auto" w:fill="FFFFFF"/>
                              <w:noWrap/>
                              <w:tcMar>
                                <w:top w:w="120" w:type="dxa"/>
                                <w:left w:w="0" w:type="dxa"/>
                                <w:bottom w:w="120" w:type="dxa"/>
                                <w:right w:w="240" w:type="dxa"/>
                              </w:tcMar>
                              <w:hideMark/>
                            </w:tcPr>
                            <w:p w14:paraId="1667CBAF" w14:textId="77777777" w:rsidR="00A179DD" w:rsidRPr="00D30097" w:rsidRDefault="00A179DD" w:rsidP="0078662D">
                              <w:pPr>
                                <w:spacing w:after="0" w:line="240" w:lineRule="auto"/>
                                <w:jc w:val="right"/>
                                <w:rPr>
                                  <w:rFonts w:ascii="Arial" w:eastAsia="Times New Roman" w:hAnsi="Arial" w:cs="Arial"/>
                                  <w:color w:val="777777"/>
                                  <w:sz w:val="20"/>
                                  <w:szCs w:val="20"/>
                                </w:rPr>
                              </w:pPr>
                            </w:p>
                          </w:tc>
                          <w:tc>
                            <w:tcPr>
                              <w:tcW w:w="0" w:type="auto"/>
                              <w:shd w:val="clear" w:color="auto" w:fill="FFFFFF"/>
                              <w:tcMar>
                                <w:top w:w="120" w:type="dxa"/>
                                <w:left w:w="0" w:type="dxa"/>
                                <w:bottom w:w="120" w:type="dxa"/>
                                <w:right w:w="0" w:type="dxa"/>
                              </w:tcMar>
                              <w:hideMark/>
                            </w:tcPr>
                            <w:p w14:paraId="26FDB3B2" w14:textId="77777777" w:rsidR="00A179DD" w:rsidRPr="00D30097" w:rsidRDefault="00A179DD" w:rsidP="0078662D">
                              <w:pPr>
                                <w:spacing w:after="0" w:line="240" w:lineRule="auto"/>
                                <w:jc w:val="right"/>
                                <w:rPr>
                                  <w:rFonts w:ascii="Arial" w:eastAsia="Times New Roman" w:hAnsi="Arial" w:cs="Arial"/>
                                  <w:color w:val="777777"/>
                                  <w:sz w:val="20"/>
                                  <w:szCs w:val="20"/>
                                </w:rPr>
                              </w:pPr>
                            </w:p>
                          </w:tc>
                        </w:tr>
                      </w:tbl>
                      <w:p w14:paraId="49C76CEE" w14:textId="77777777" w:rsidR="00A179DD" w:rsidRPr="0019746C" w:rsidRDefault="00A179DD" w:rsidP="0078662D">
                        <w:pPr>
                          <w:spacing w:after="0" w:line="480" w:lineRule="auto"/>
                          <w:rPr>
                            <w:rFonts w:ascii="Times New Roman" w:eastAsia="Times New Roman" w:hAnsi="Times New Roman" w:cs="Times New Roman"/>
                            <w:color w:val="222222"/>
                            <w:sz w:val="24"/>
                            <w:szCs w:val="24"/>
                          </w:rPr>
                        </w:pPr>
                      </w:p>
                    </w:tc>
                  </w:tr>
                  <w:tr w:rsidR="00A179DD" w:rsidRPr="0019746C" w14:paraId="62B55C79" w14:textId="77777777" w:rsidTr="0078662D">
                    <w:tc>
                      <w:tcPr>
                        <w:tcW w:w="0" w:type="auto"/>
                        <w:shd w:val="clear" w:color="auto" w:fill="FFFFFF"/>
                        <w:noWrap/>
                        <w:tcMar>
                          <w:top w:w="120" w:type="dxa"/>
                          <w:left w:w="0" w:type="dxa"/>
                          <w:bottom w:w="120" w:type="dxa"/>
                          <w:right w:w="240" w:type="dxa"/>
                        </w:tcMar>
                        <w:hideMark/>
                      </w:tcPr>
                      <w:p w14:paraId="69DFAFD1" w14:textId="77777777" w:rsidR="00A179DD" w:rsidRPr="0019746C" w:rsidRDefault="00A179DD" w:rsidP="00A179DD">
                        <w:pPr>
                          <w:spacing w:after="0" w:line="240" w:lineRule="auto"/>
                          <w:rPr>
                            <w:rFonts w:ascii="Arial" w:eastAsia="Times New Roman" w:hAnsi="Arial" w:cs="Arial"/>
                            <w:color w:val="777777"/>
                            <w:sz w:val="20"/>
                            <w:szCs w:val="20"/>
                          </w:rPr>
                        </w:pPr>
                      </w:p>
                    </w:tc>
                    <w:tc>
                      <w:tcPr>
                        <w:tcW w:w="0" w:type="auto"/>
                        <w:shd w:val="clear" w:color="auto" w:fill="FFFFFF"/>
                        <w:tcMar>
                          <w:top w:w="120" w:type="dxa"/>
                          <w:left w:w="0" w:type="dxa"/>
                          <w:bottom w:w="120" w:type="dxa"/>
                          <w:right w:w="0" w:type="dxa"/>
                        </w:tcMar>
                        <w:hideMark/>
                      </w:tcPr>
                      <w:p w14:paraId="4568DB64" w14:textId="77777777" w:rsidR="00A179DD" w:rsidRPr="0019746C" w:rsidRDefault="00A179DD" w:rsidP="0078662D">
                        <w:pPr>
                          <w:spacing w:after="0" w:line="240" w:lineRule="auto"/>
                          <w:jc w:val="right"/>
                          <w:rPr>
                            <w:rFonts w:ascii="Arial" w:eastAsia="Times New Roman" w:hAnsi="Arial" w:cs="Arial"/>
                            <w:color w:val="777777"/>
                            <w:sz w:val="20"/>
                            <w:szCs w:val="20"/>
                          </w:rPr>
                        </w:pPr>
                      </w:p>
                    </w:tc>
                  </w:tr>
                </w:tbl>
                <w:p w14:paraId="62A9834B" w14:textId="77777777" w:rsidR="00A179DD" w:rsidRPr="0019746C" w:rsidRDefault="00A179DD" w:rsidP="0078662D">
                  <w:pPr>
                    <w:spacing w:after="0" w:line="480" w:lineRule="auto"/>
                    <w:rPr>
                      <w:rFonts w:ascii="Times New Roman" w:eastAsia="Times New Roman" w:hAnsi="Times New Roman" w:cs="Times New Roman"/>
                      <w:color w:val="222222"/>
                      <w:sz w:val="24"/>
                      <w:szCs w:val="24"/>
                    </w:rPr>
                  </w:pPr>
                </w:p>
              </w:tc>
            </w:tr>
            <w:tr w:rsidR="00A179DD" w:rsidRPr="0019746C" w14:paraId="5579E0AA" w14:textId="77777777" w:rsidTr="0078662D">
              <w:tc>
                <w:tcPr>
                  <w:tcW w:w="0" w:type="auto"/>
                  <w:shd w:val="clear" w:color="auto" w:fill="FFFFFF"/>
                  <w:noWrap/>
                  <w:tcMar>
                    <w:top w:w="120" w:type="dxa"/>
                    <w:left w:w="0" w:type="dxa"/>
                    <w:bottom w:w="120" w:type="dxa"/>
                    <w:right w:w="240" w:type="dxa"/>
                  </w:tcMar>
                  <w:hideMark/>
                </w:tcPr>
                <w:p w14:paraId="629E75EB" w14:textId="77777777" w:rsidR="00A179DD" w:rsidRPr="0019746C" w:rsidRDefault="00A179DD" w:rsidP="0078662D">
                  <w:pPr>
                    <w:spacing w:after="0" w:line="240" w:lineRule="auto"/>
                    <w:jc w:val="right"/>
                    <w:rPr>
                      <w:rFonts w:ascii="Arial" w:eastAsia="Times New Roman" w:hAnsi="Arial" w:cs="Arial"/>
                      <w:color w:val="777777"/>
                      <w:sz w:val="20"/>
                      <w:szCs w:val="20"/>
                    </w:rPr>
                  </w:pPr>
                </w:p>
              </w:tc>
              <w:tc>
                <w:tcPr>
                  <w:tcW w:w="0" w:type="auto"/>
                  <w:shd w:val="clear" w:color="auto" w:fill="FFFFFF"/>
                  <w:tcMar>
                    <w:top w:w="120" w:type="dxa"/>
                    <w:left w:w="0" w:type="dxa"/>
                    <w:bottom w:w="120" w:type="dxa"/>
                    <w:right w:w="0" w:type="dxa"/>
                  </w:tcMar>
                  <w:hideMark/>
                </w:tcPr>
                <w:p w14:paraId="741E9CFF" w14:textId="77777777" w:rsidR="00A179DD" w:rsidRPr="0019746C" w:rsidRDefault="00A179DD" w:rsidP="0078662D">
                  <w:pPr>
                    <w:spacing w:after="0" w:line="240" w:lineRule="auto"/>
                    <w:jc w:val="right"/>
                    <w:rPr>
                      <w:rFonts w:ascii="Arial" w:eastAsia="Times New Roman" w:hAnsi="Arial" w:cs="Arial"/>
                      <w:color w:val="777777"/>
                      <w:sz w:val="20"/>
                      <w:szCs w:val="20"/>
                    </w:rPr>
                  </w:pPr>
                </w:p>
              </w:tc>
            </w:tr>
          </w:tbl>
          <w:p w14:paraId="3FACC7AE" w14:textId="77777777" w:rsidR="00A179DD" w:rsidRPr="0019746C" w:rsidRDefault="00A179DD" w:rsidP="0078662D">
            <w:pPr>
              <w:spacing w:after="0" w:line="480" w:lineRule="auto"/>
              <w:rPr>
                <w:rFonts w:ascii="Times New Roman" w:eastAsia="Times New Roman" w:hAnsi="Times New Roman" w:cs="Times New Roman"/>
                <w:color w:val="222222"/>
                <w:sz w:val="24"/>
                <w:szCs w:val="24"/>
              </w:rPr>
            </w:pPr>
          </w:p>
        </w:tc>
      </w:tr>
      <w:tr w:rsidR="00A179DD" w:rsidRPr="0019746C" w14:paraId="2096F480" w14:textId="77777777" w:rsidTr="0078662D">
        <w:tc>
          <w:tcPr>
            <w:tcW w:w="0" w:type="auto"/>
            <w:shd w:val="clear" w:color="auto" w:fill="FFFFFF"/>
            <w:noWrap/>
            <w:tcMar>
              <w:top w:w="120" w:type="dxa"/>
              <w:left w:w="0" w:type="dxa"/>
              <w:bottom w:w="120" w:type="dxa"/>
              <w:right w:w="240" w:type="dxa"/>
            </w:tcMar>
            <w:hideMark/>
          </w:tcPr>
          <w:p w14:paraId="42E35FB3" w14:textId="77777777" w:rsidR="00A179DD" w:rsidRPr="0019746C" w:rsidRDefault="00A179DD" w:rsidP="0078662D">
            <w:pPr>
              <w:spacing w:after="0" w:line="240" w:lineRule="auto"/>
              <w:jc w:val="right"/>
              <w:rPr>
                <w:rFonts w:ascii="Arial" w:eastAsia="Times New Roman" w:hAnsi="Arial" w:cs="Arial"/>
                <w:color w:val="777777"/>
                <w:sz w:val="20"/>
                <w:szCs w:val="20"/>
              </w:rPr>
            </w:pPr>
          </w:p>
        </w:tc>
        <w:tc>
          <w:tcPr>
            <w:tcW w:w="0" w:type="auto"/>
            <w:shd w:val="clear" w:color="auto" w:fill="FFFFFF"/>
            <w:tcMar>
              <w:top w:w="120" w:type="dxa"/>
              <w:left w:w="0" w:type="dxa"/>
              <w:bottom w:w="120" w:type="dxa"/>
              <w:right w:w="0" w:type="dxa"/>
            </w:tcMar>
            <w:hideMark/>
          </w:tcPr>
          <w:p w14:paraId="27DB3BEE" w14:textId="77777777" w:rsidR="00A179DD" w:rsidRPr="0019746C" w:rsidRDefault="00A179DD" w:rsidP="0078662D">
            <w:pPr>
              <w:spacing w:after="0" w:line="240" w:lineRule="auto"/>
              <w:jc w:val="right"/>
              <w:rPr>
                <w:rFonts w:ascii="Arial" w:eastAsia="Times New Roman" w:hAnsi="Arial" w:cs="Arial"/>
                <w:color w:val="777777"/>
                <w:sz w:val="20"/>
                <w:szCs w:val="20"/>
              </w:rPr>
            </w:pPr>
          </w:p>
        </w:tc>
      </w:tr>
    </w:tbl>
    <w:p w14:paraId="5A2EA093" w14:textId="77777777" w:rsidR="00A179DD" w:rsidRPr="0042721C" w:rsidRDefault="00A179DD" w:rsidP="00A179DD">
      <w:pPr>
        <w:spacing w:line="480" w:lineRule="auto"/>
        <w:ind w:firstLine="720"/>
        <w:rPr>
          <w:rFonts w:ascii="Times New Roman" w:hAnsi="Times New Roman" w:cs="Times New Roman"/>
          <w:sz w:val="24"/>
          <w:szCs w:val="24"/>
        </w:rPr>
      </w:pPr>
    </w:p>
    <w:p w14:paraId="49D30B95" w14:textId="77777777" w:rsidR="00FF6807" w:rsidRPr="00FC5329" w:rsidRDefault="00FF6807" w:rsidP="00FF6807">
      <w:pPr>
        <w:spacing w:line="480" w:lineRule="auto"/>
        <w:ind w:firstLine="720"/>
        <w:rPr>
          <w:rFonts w:ascii="Times New Roman" w:hAnsi="Times New Roman" w:cs="Times New Roman"/>
          <w:sz w:val="24"/>
          <w:szCs w:val="24"/>
        </w:rPr>
      </w:pPr>
    </w:p>
    <w:p w14:paraId="40702759" w14:textId="77777777" w:rsidR="00FC5329" w:rsidRPr="0042721C" w:rsidRDefault="00FC5329" w:rsidP="006F1F32">
      <w:pPr>
        <w:spacing w:line="480" w:lineRule="auto"/>
        <w:ind w:firstLine="720"/>
        <w:rPr>
          <w:rFonts w:ascii="Times New Roman" w:hAnsi="Times New Roman" w:cs="Times New Roman"/>
          <w:sz w:val="24"/>
          <w:szCs w:val="24"/>
        </w:rPr>
      </w:pPr>
    </w:p>
    <w:p w14:paraId="29A26177" w14:textId="77777777" w:rsidR="006F1F32" w:rsidRPr="008A30BC" w:rsidRDefault="006F1F32" w:rsidP="008A30BC">
      <w:pPr>
        <w:spacing w:line="480" w:lineRule="auto"/>
        <w:rPr>
          <w:rFonts w:ascii="Times New Roman" w:hAnsi="Times New Roman" w:cs="Times New Roman"/>
          <w:sz w:val="24"/>
          <w:szCs w:val="24"/>
        </w:rPr>
      </w:pPr>
    </w:p>
    <w:p w14:paraId="5581EDCB" w14:textId="77777777" w:rsidR="008A30BC" w:rsidRPr="005666BF" w:rsidRDefault="008A30BC" w:rsidP="008A30BC">
      <w:pPr>
        <w:spacing w:line="480" w:lineRule="auto"/>
        <w:rPr>
          <w:rFonts w:ascii="Times New Roman" w:hAnsi="Times New Roman" w:cs="Times New Roman"/>
          <w:sz w:val="24"/>
          <w:szCs w:val="24"/>
        </w:rPr>
      </w:pPr>
    </w:p>
    <w:sectPr w:rsidR="008A30BC" w:rsidRPr="005666B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953DB4" w14:textId="77777777" w:rsidR="005666BF" w:rsidRDefault="005666BF" w:rsidP="005666BF">
      <w:pPr>
        <w:spacing w:after="0" w:line="240" w:lineRule="auto"/>
      </w:pPr>
      <w:r>
        <w:separator/>
      </w:r>
    </w:p>
  </w:endnote>
  <w:endnote w:type="continuationSeparator" w:id="0">
    <w:p w14:paraId="15D3861B" w14:textId="77777777" w:rsidR="005666BF" w:rsidRDefault="005666BF" w:rsidP="005666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07F5A8" w14:textId="77777777" w:rsidR="005666BF" w:rsidRDefault="005666BF" w:rsidP="005666BF">
      <w:pPr>
        <w:spacing w:after="0" w:line="240" w:lineRule="auto"/>
      </w:pPr>
      <w:r>
        <w:separator/>
      </w:r>
    </w:p>
  </w:footnote>
  <w:footnote w:type="continuationSeparator" w:id="0">
    <w:p w14:paraId="47BB98F5" w14:textId="77777777" w:rsidR="005666BF" w:rsidRDefault="005666BF" w:rsidP="005666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left w:w="0" w:type="dxa"/>
        <w:right w:w="0" w:type="dxa"/>
      </w:tblCellMar>
      <w:tblLook w:val="04A0" w:firstRow="1" w:lastRow="0" w:firstColumn="1" w:lastColumn="0" w:noHBand="0" w:noVBand="1"/>
    </w:tblPr>
    <w:tblGrid>
      <w:gridCol w:w="3120"/>
      <w:gridCol w:w="3121"/>
      <w:gridCol w:w="3119"/>
    </w:tblGrid>
    <w:tr w:rsidR="005666BF" w14:paraId="65F2CB05" w14:textId="77777777">
      <w:trPr>
        <w:trHeight w:val="720"/>
      </w:trPr>
      <w:tc>
        <w:tcPr>
          <w:tcW w:w="1667" w:type="pct"/>
        </w:tcPr>
        <w:p w14:paraId="3583446E" w14:textId="77777777" w:rsidR="005666BF" w:rsidRDefault="005666BF">
          <w:pPr>
            <w:pStyle w:val="Header"/>
            <w:tabs>
              <w:tab w:val="clear" w:pos="4680"/>
              <w:tab w:val="clear" w:pos="9360"/>
            </w:tabs>
            <w:rPr>
              <w:color w:val="4472C4" w:themeColor="accent1"/>
            </w:rPr>
          </w:pPr>
        </w:p>
      </w:tc>
      <w:tc>
        <w:tcPr>
          <w:tcW w:w="1667" w:type="pct"/>
        </w:tcPr>
        <w:p w14:paraId="07E50D1A" w14:textId="77777777" w:rsidR="005666BF" w:rsidRDefault="005666BF">
          <w:pPr>
            <w:pStyle w:val="Header"/>
            <w:tabs>
              <w:tab w:val="clear" w:pos="4680"/>
              <w:tab w:val="clear" w:pos="9360"/>
            </w:tabs>
            <w:jc w:val="center"/>
            <w:rPr>
              <w:color w:val="4472C4" w:themeColor="accent1"/>
            </w:rPr>
          </w:pPr>
        </w:p>
      </w:tc>
      <w:tc>
        <w:tcPr>
          <w:tcW w:w="1666" w:type="pct"/>
        </w:tcPr>
        <w:p w14:paraId="79344973" w14:textId="77777777" w:rsidR="005666BF" w:rsidRDefault="005666BF">
          <w:pPr>
            <w:pStyle w:val="Header"/>
            <w:tabs>
              <w:tab w:val="clear" w:pos="4680"/>
              <w:tab w:val="clear" w:pos="9360"/>
            </w:tabs>
            <w:jc w:val="right"/>
            <w:rPr>
              <w:color w:val="4472C4" w:themeColor="accent1"/>
            </w:rPr>
          </w:pPr>
          <w:r>
            <w:rPr>
              <w:color w:val="4472C4" w:themeColor="accent1"/>
              <w:sz w:val="24"/>
              <w:szCs w:val="24"/>
            </w:rPr>
            <w:fldChar w:fldCharType="begin"/>
          </w:r>
          <w:r>
            <w:rPr>
              <w:color w:val="4472C4" w:themeColor="accent1"/>
              <w:sz w:val="24"/>
              <w:szCs w:val="24"/>
            </w:rPr>
            <w:instrText xml:space="preserve"> PAGE   \* MERGEFORMAT </w:instrText>
          </w:r>
          <w:r>
            <w:rPr>
              <w:color w:val="4472C4" w:themeColor="accent1"/>
              <w:sz w:val="24"/>
              <w:szCs w:val="24"/>
            </w:rPr>
            <w:fldChar w:fldCharType="separate"/>
          </w:r>
          <w:r>
            <w:rPr>
              <w:noProof/>
              <w:color w:val="4472C4" w:themeColor="accent1"/>
              <w:sz w:val="24"/>
              <w:szCs w:val="24"/>
            </w:rPr>
            <w:t>0</w:t>
          </w:r>
          <w:r>
            <w:rPr>
              <w:color w:val="4472C4" w:themeColor="accent1"/>
              <w:sz w:val="24"/>
              <w:szCs w:val="24"/>
            </w:rPr>
            <w:fldChar w:fldCharType="end"/>
          </w:r>
        </w:p>
      </w:tc>
    </w:tr>
  </w:tbl>
  <w:p w14:paraId="2E635D9A" w14:textId="77777777" w:rsidR="005666BF" w:rsidRDefault="005666B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6BF"/>
    <w:rsid w:val="000044B9"/>
    <w:rsid w:val="00076531"/>
    <w:rsid w:val="0024123C"/>
    <w:rsid w:val="003556C7"/>
    <w:rsid w:val="005666BF"/>
    <w:rsid w:val="006F1F32"/>
    <w:rsid w:val="008A30BC"/>
    <w:rsid w:val="00992A61"/>
    <w:rsid w:val="009D3764"/>
    <w:rsid w:val="00A179DD"/>
    <w:rsid w:val="00C31A00"/>
    <w:rsid w:val="00E96472"/>
    <w:rsid w:val="00ED17E4"/>
    <w:rsid w:val="00FC5329"/>
    <w:rsid w:val="00FF68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2CE5B"/>
  <w15:chartTrackingRefBased/>
  <w15:docId w15:val="{9B152382-381F-4464-9E62-AE8349077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66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66BF"/>
  </w:style>
  <w:style w:type="paragraph" w:styleId="Footer">
    <w:name w:val="footer"/>
    <w:basedOn w:val="Normal"/>
    <w:link w:val="FooterChar"/>
    <w:uiPriority w:val="99"/>
    <w:unhideWhenUsed/>
    <w:rsid w:val="005666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66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51610">
      <w:bodyDiv w:val="1"/>
      <w:marLeft w:val="0"/>
      <w:marRight w:val="0"/>
      <w:marTop w:val="0"/>
      <w:marBottom w:val="0"/>
      <w:divBdr>
        <w:top w:val="none" w:sz="0" w:space="0" w:color="auto"/>
        <w:left w:val="none" w:sz="0" w:space="0" w:color="auto"/>
        <w:bottom w:val="none" w:sz="0" w:space="0" w:color="auto"/>
        <w:right w:val="none" w:sz="0" w:space="0" w:color="auto"/>
      </w:divBdr>
      <w:divsChild>
        <w:div w:id="1320696406">
          <w:marLeft w:val="0"/>
          <w:marRight w:val="0"/>
          <w:marTop w:val="0"/>
          <w:marBottom w:val="0"/>
          <w:divBdr>
            <w:top w:val="none" w:sz="0" w:space="0" w:color="auto"/>
            <w:left w:val="none" w:sz="0" w:space="0" w:color="auto"/>
            <w:bottom w:val="none" w:sz="0" w:space="0" w:color="auto"/>
            <w:right w:val="none" w:sz="0" w:space="0" w:color="auto"/>
          </w:divBdr>
        </w:div>
      </w:divsChild>
    </w:div>
    <w:div w:id="318534017">
      <w:bodyDiv w:val="1"/>
      <w:marLeft w:val="0"/>
      <w:marRight w:val="0"/>
      <w:marTop w:val="0"/>
      <w:marBottom w:val="0"/>
      <w:divBdr>
        <w:top w:val="none" w:sz="0" w:space="0" w:color="auto"/>
        <w:left w:val="none" w:sz="0" w:space="0" w:color="auto"/>
        <w:bottom w:val="none" w:sz="0" w:space="0" w:color="auto"/>
        <w:right w:val="none" w:sz="0" w:space="0" w:color="auto"/>
      </w:divBdr>
      <w:divsChild>
        <w:div w:id="1330668632">
          <w:marLeft w:val="0"/>
          <w:marRight w:val="0"/>
          <w:marTop w:val="0"/>
          <w:marBottom w:val="0"/>
          <w:divBdr>
            <w:top w:val="none" w:sz="0" w:space="0" w:color="auto"/>
            <w:left w:val="none" w:sz="0" w:space="0" w:color="auto"/>
            <w:bottom w:val="none" w:sz="0" w:space="0" w:color="auto"/>
            <w:right w:val="none" w:sz="0" w:space="0" w:color="auto"/>
          </w:divBdr>
        </w:div>
      </w:divsChild>
    </w:div>
    <w:div w:id="854920221">
      <w:bodyDiv w:val="1"/>
      <w:marLeft w:val="0"/>
      <w:marRight w:val="0"/>
      <w:marTop w:val="0"/>
      <w:marBottom w:val="0"/>
      <w:divBdr>
        <w:top w:val="none" w:sz="0" w:space="0" w:color="auto"/>
        <w:left w:val="none" w:sz="0" w:space="0" w:color="auto"/>
        <w:bottom w:val="none" w:sz="0" w:space="0" w:color="auto"/>
        <w:right w:val="none" w:sz="0" w:space="0" w:color="auto"/>
      </w:divBdr>
      <w:divsChild>
        <w:div w:id="1600093858">
          <w:marLeft w:val="0"/>
          <w:marRight w:val="0"/>
          <w:marTop w:val="0"/>
          <w:marBottom w:val="0"/>
          <w:divBdr>
            <w:top w:val="none" w:sz="0" w:space="0" w:color="auto"/>
            <w:left w:val="none" w:sz="0" w:space="0" w:color="auto"/>
            <w:bottom w:val="none" w:sz="0" w:space="0" w:color="auto"/>
            <w:right w:val="none" w:sz="0" w:space="0" w:color="auto"/>
          </w:divBdr>
        </w:div>
      </w:divsChild>
    </w:div>
    <w:div w:id="1405949446">
      <w:bodyDiv w:val="1"/>
      <w:marLeft w:val="0"/>
      <w:marRight w:val="0"/>
      <w:marTop w:val="0"/>
      <w:marBottom w:val="0"/>
      <w:divBdr>
        <w:top w:val="none" w:sz="0" w:space="0" w:color="auto"/>
        <w:left w:val="none" w:sz="0" w:space="0" w:color="auto"/>
        <w:bottom w:val="none" w:sz="0" w:space="0" w:color="auto"/>
        <w:right w:val="none" w:sz="0" w:space="0" w:color="auto"/>
      </w:divBdr>
      <w:divsChild>
        <w:div w:id="1526751594">
          <w:marLeft w:val="0"/>
          <w:marRight w:val="0"/>
          <w:marTop w:val="0"/>
          <w:marBottom w:val="0"/>
          <w:divBdr>
            <w:top w:val="none" w:sz="0" w:space="0" w:color="auto"/>
            <w:left w:val="none" w:sz="0" w:space="0" w:color="auto"/>
            <w:bottom w:val="none" w:sz="0" w:space="0" w:color="auto"/>
            <w:right w:val="none" w:sz="0" w:space="0" w:color="auto"/>
          </w:divBdr>
        </w:div>
      </w:divsChild>
    </w:div>
    <w:div w:id="1566837006">
      <w:bodyDiv w:val="1"/>
      <w:marLeft w:val="0"/>
      <w:marRight w:val="0"/>
      <w:marTop w:val="0"/>
      <w:marBottom w:val="0"/>
      <w:divBdr>
        <w:top w:val="none" w:sz="0" w:space="0" w:color="auto"/>
        <w:left w:val="none" w:sz="0" w:space="0" w:color="auto"/>
        <w:bottom w:val="none" w:sz="0" w:space="0" w:color="auto"/>
        <w:right w:val="none" w:sz="0" w:space="0" w:color="auto"/>
      </w:divBdr>
      <w:divsChild>
        <w:div w:id="1077750262">
          <w:marLeft w:val="0"/>
          <w:marRight w:val="0"/>
          <w:marTop w:val="0"/>
          <w:marBottom w:val="0"/>
          <w:divBdr>
            <w:top w:val="none" w:sz="0" w:space="0" w:color="auto"/>
            <w:left w:val="none" w:sz="0" w:space="0" w:color="auto"/>
            <w:bottom w:val="none" w:sz="0" w:space="0" w:color="auto"/>
            <w:right w:val="none" w:sz="0" w:space="0" w:color="auto"/>
          </w:divBdr>
        </w:div>
      </w:divsChild>
    </w:div>
    <w:div w:id="2125148907">
      <w:bodyDiv w:val="1"/>
      <w:marLeft w:val="0"/>
      <w:marRight w:val="0"/>
      <w:marTop w:val="0"/>
      <w:marBottom w:val="0"/>
      <w:divBdr>
        <w:top w:val="none" w:sz="0" w:space="0" w:color="auto"/>
        <w:left w:val="none" w:sz="0" w:space="0" w:color="auto"/>
        <w:bottom w:val="none" w:sz="0" w:space="0" w:color="auto"/>
        <w:right w:val="none" w:sz="0" w:space="0" w:color="auto"/>
      </w:divBdr>
      <w:divsChild>
        <w:div w:id="21164411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D7AB6A-8BC3-403F-AA7E-0B5959FB0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1348</Words>
  <Characters>7689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Maina</dc:creator>
  <cp:keywords/>
  <dc:description/>
  <cp:lastModifiedBy>Brian Maina</cp:lastModifiedBy>
  <cp:revision>2</cp:revision>
  <dcterms:created xsi:type="dcterms:W3CDTF">2023-06-05T20:53:00Z</dcterms:created>
  <dcterms:modified xsi:type="dcterms:W3CDTF">2023-06-05T20:53:00Z</dcterms:modified>
</cp:coreProperties>
</file>