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BF4326"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496F1B" w:rsidRDefault="00496F1B" w:rsidP="005873A7">
      <w:pPr>
        <w:spacing w:line="480" w:lineRule="auto"/>
        <w:ind w:firstLine="720"/>
        <w:rPr>
          <w:sz w:val="24"/>
          <w:szCs w:val="24"/>
        </w:rPr>
      </w:pPr>
    </w:p>
    <w:p w:rsidR="00C53457" w:rsidRPr="00C53457" w:rsidRDefault="00C53457" w:rsidP="00C53457">
      <w:pPr>
        <w:spacing w:line="480" w:lineRule="auto"/>
        <w:ind w:firstLine="720"/>
        <w:jc w:val="center"/>
        <w:rPr>
          <w:b/>
          <w:sz w:val="24"/>
          <w:szCs w:val="24"/>
        </w:rPr>
      </w:pPr>
      <w:r w:rsidRPr="00C53457">
        <w:rPr>
          <w:b/>
          <w:sz w:val="24"/>
          <w:szCs w:val="24"/>
        </w:rPr>
        <w:lastRenderedPageBreak/>
        <w:t>Member Behaviour</w:t>
      </w:r>
    </w:p>
    <w:p w:rsidR="000F0681" w:rsidRPr="000F0681" w:rsidRDefault="000F0681" w:rsidP="000F0681">
      <w:pPr>
        <w:spacing w:line="480" w:lineRule="auto"/>
        <w:ind w:firstLine="720"/>
        <w:rPr>
          <w:sz w:val="24"/>
          <w:szCs w:val="24"/>
        </w:rPr>
      </w:pPr>
      <w:r w:rsidRPr="000F0681">
        <w:rPr>
          <w:sz w:val="24"/>
          <w:szCs w:val="24"/>
        </w:rPr>
        <w:t>Member behavio</w:t>
      </w:r>
      <w:r w:rsidR="00B12FFB">
        <w:rPr>
          <w:sz w:val="24"/>
          <w:szCs w:val="24"/>
        </w:rPr>
        <w:t>u</w:t>
      </w:r>
      <w:r w:rsidRPr="000F0681">
        <w:rPr>
          <w:sz w:val="24"/>
          <w:szCs w:val="24"/>
        </w:rPr>
        <w:t xml:space="preserve">r refers to the actions, attitudes, and interactions exhibited by individuals within a specific group, organization, or community. It encompasses a wide range of observable and measurable activities that reflect how members of a group engage with one another and contribute to the overall dynamics of the collective entity. Understanding and </w:t>
      </w:r>
      <w:r w:rsidR="00B12FFB" w:rsidRPr="000F0681">
        <w:rPr>
          <w:sz w:val="24"/>
          <w:szCs w:val="24"/>
        </w:rPr>
        <w:t>analysing</w:t>
      </w:r>
      <w:r w:rsidRPr="000F0681">
        <w:rPr>
          <w:sz w:val="24"/>
          <w:szCs w:val="24"/>
        </w:rPr>
        <w:t xml:space="preserve"> member behavio</w:t>
      </w:r>
      <w:r>
        <w:rPr>
          <w:sz w:val="24"/>
          <w:szCs w:val="24"/>
        </w:rPr>
        <w:t>u</w:t>
      </w:r>
      <w:r w:rsidRPr="000F0681">
        <w:rPr>
          <w:sz w:val="24"/>
          <w:szCs w:val="24"/>
        </w:rPr>
        <w:t>r is crucial for leaders, managers, and researchers in various contexts, including businesses, social groups, and online communities</w:t>
      </w:r>
      <w:r w:rsidR="00965790">
        <w:rPr>
          <w:sz w:val="24"/>
          <w:szCs w:val="24"/>
        </w:rPr>
        <w:t xml:space="preserve"> (Brown &amp; Pehrson, 2019</w:t>
      </w:r>
      <w:r>
        <w:rPr>
          <w:sz w:val="24"/>
          <w:szCs w:val="24"/>
        </w:rPr>
        <w:t>)</w:t>
      </w:r>
      <w:r w:rsidRPr="000F0681">
        <w:rPr>
          <w:sz w:val="24"/>
          <w:szCs w:val="24"/>
        </w:rPr>
        <w:t>.</w:t>
      </w:r>
    </w:p>
    <w:p w:rsidR="00B12FFB" w:rsidRDefault="000F0681" w:rsidP="000F0681">
      <w:pPr>
        <w:spacing w:line="480" w:lineRule="auto"/>
        <w:ind w:firstLine="720"/>
        <w:rPr>
          <w:sz w:val="24"/>
          <w:szCs w:val="24"/>
        </w:rPr>
      </w:pPr>
      <w:r w:rsidRPr="000F0681">
        <w:rPr>
          <w:sz w:val="24"/>
          <w:szCs w:val="24"/>
        </w:rPr>
        <w:t>In any given group, members' behavio</w:t>
      </w:r>
      <w:r>
        <w:rPr>
          <w:sz w:val="24"/>
          <w:szCs w:val="24"/>
        </w:rPr>
        <w:t>u</w:t>
      </w:r>
      <w:r w:rsidRPr="000F0681">
        <w:rPr>
          <w:sz w:val="24"/>
          <w:szCs w:val="24"/>
        </w:rPr>
        <w:t>r is influenced by a combination of internal factors, such as personality traits, values, and motivations, and external factors, such as organizational culture, group norms, and societal expectations</w:t>
      </w:r>
      <w:r w:rsidR="0088319E">
        <w:rPr>
          <w:sz w:val="24"/>
          <w:szCs w:val="24"/>
        </w:rPr>
        <w:t xml:space="preserve"> (Rostiawati &amp; Akbar, 2019)</w:t>
      </w:r>
      <w:r w:rsidRPr="000F0681">
        <w:rPr>
          <w:sz w:val="24"/>
          <w:szCs w:val="24"/>
        </w:rPr>
        <w:t>. The interplay between these factors shapes the way individuals act within the group and contributes to the overall group dynamics. In various contexts, strategies may be employed to encourage positive member behaviour, such as fostering a supportive environment, providing clear communication, establishing and reinforcing group norms, and addressing conflicts in a constructive manner</w:t>
      </w:r>
      <w:r w:rsidR="00965790">
        <w:rPr>
          <w:sz w:val="24"/>
          <w:szCs w:val="24"/>
        </w:rPr>
        <w:t xml:space="preserve"> (Tasca, 2021</w:t>
      </w:r>
      <w:r w:rsidR="00B12FFB">
        <w:rPr>
          <w:sz w:val="24"/>
          <w:szCs w:val="24"/>
        </w:rPr>
        <w:t>)</w:t>
      </w:r>
      <w:r w:rsidRPr="000F0681">
        <w:rPr>
          <w:sz w:val="24"/>
          <w:szCs w:val="24"/>
        </w:rPr>
        <w:t xml:space="preserve">. </w:t>
      </w:r>
    </w:p>
    <w:p w:rsidR="000F0681" w:rsidRPr="000F0681" w:rsidRDefault="000F0681" w:rsidP="000F0681">
      <w:pPr>
        <w:spacing w:line="480" w:lineRule="auto"/>
        <w:ind w:firstLine="720"/>
        <w:rPr>
          <w:sz w:val="24"/>
          <w:szCs w:val="24"/>
        </w:rPr>
      </w:pPr>
      <w:r w:rsidRPr="000F0681">
        <w:rPr>
          <w:sz w:val="24"/>
          <w:szCs w:val="24"/>
        </w:rPr>
        <w:t>Overall, member behaviour plays a significant role in shaping the culture and success of any group or organization. Member behaviour is therefore, the ability of someone who belongs to a certain group to conduct himself in a way that conforms to the rules and regulations in line with the goals of that specific group. Member behaviour mainly involves interaction, action and the general conduct of someone in that specific group, community or organization</w:t>
      </w:r>
      <w:r w:rsidR="0088319E">
        <w:rPr>
          <w:sz w:val="24"/>
          <w:szCs w:val="24"/>
        </w:rPr>
        <w:t xml:space="preserve"> (Griffin et al., 2023)</w:t>
      </w:r>
      <w:r w:rsidRPr="000F0681">
        <w:rPr>
          <w:sz w:val="24"/>
          <w:szCs w:val="24"/>
        </w:rPr>
        <w:t xml:space="preserve">. </w:t>
      </w:r>
    </w:p>
    <w:p w:rsidR="000F0681" w:rsidRPr="000F0681" w:rsidRDefault="000F0681" w:rsidP="000F0681">
      <w:pPr>
        <w:spacing w:line="480" w:lineRule="auto"/>
        <w:ind w:firstLine="720"/>
        <w:rPr>
          <w:sz w:val="24"/>
          <w:szCs w:val="24"/>
        </w:rPr>
      </w:pPr>
    </w:p>
    <w:p w:rsidR="000F0681" w:rsidRPr="000F0681" w:rsidRDefault="000F0681" w:rsidP="000F0681">
      <w:pPr>
        <w:spacing w:line="480" w:lineRule="auto"/>
        <w:ind w:firstLine="720"/>
        <w:rPr>
          <w:sz w:val="24"/>
          <w:szCs w:val="24"/>
        </w:rPr>
      </w:pPr>
      <w:r w:rsidRPr="000F0681">
        <w:rPr>
          <w:sz w:val="24"/>
          <w:szCs w:val="24"/>
        </w:rPr>
        <w:lastRenderedPageBreak/>
        <w:t>One key aspect of member behavio</w:t>
      </w:r>
      <w:r>
        <w:rPr>
          <w:sz w:val="24"/>
          <w:szCs w:val="24"/>
        </w:rPr>
        <w:t>u</w:t>
      </w:r>
      <w:r w:rsidRPr="000F0681">
        <w:rPr>
          <w:sz w:val="24"/>
          <w:szCs w:val="24"/>
        </w:rPr>
        <w:t>r is communication. The way members express themselves, share information, and interact with one another significantly impacts the group's cohesion and effectiveness. Effective communication fosters collaboration, understanding, and a sense of belonging among members. In contrast, poor communication can lead to misunderstandings, conflicts, and a breakdown of trust within the group</w:t>
      </w:r>
      <w:r w:rsidR="002368A4">
        <w:rPr>
          <w:sz w:val="24"/>
          <w:szCs w:val="24"/>
        </w:rPr>
        <w:t xml:space="preserve"> (Tasca, 2021)</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Collaboration is another crucial element of member behavio</w:t>
      </w:r>
      <w:r>
        <w:rPr>
          <w:sz w:val="24"/>
          <w:szCs w:val="24"/>
        </w:rPr>
        <w:t>u</w:t>
      </w:r>
      <w:r w:rsidRPr="000F0681">
        <w:rPr>
          <w:sz w:val="24"/>
          <w:szCs w:val="24"/>
        </w:rPr>
        <w:t>r, particularly in group settings like workplaces or project teams. Members who actively collaborate contribute their skills and expertise to achieve common goals. Collaboration involves effective teamwork, coordination, and a willingness to share responsibilities. On the other hand, members who exhibit individualistic behavio</w:t>
      </w:r>
      <w:r>
        <w:rPr>
          <w:sz w:val="24"/>
          <w:szCs w:val="24"/>
        </w:rPr>
        <w:t>u</w:t>
      </w:r>
      <w:r w:rsidRPr="000F0681">
        <w:rPr>
          <w:sz w:val="24"/>
          <w:szCs w:val="24"/>
        </w:rPr>
        <w:t>r may hinder group progress and create friction within the team</w:t>
      </w:r>
      <w:r w:rsidR="002368A4">
        <w:rPr>
          <w:sz w:val="24"/>
          <w:szCs w:val="24"/>
        </w:rPr>
        <w:t xml:space="preserve"> (Tasca, 2021)</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Leadership within a group also plays a vital role in shaping member behavio</w:t>
      </w:r>
      <w:r>
        <w:rPr>
          <w:sz w:val="24"/>
          <w:szCs w:val="24"/>
        </w:rPr>
        <w:t>u</w:t>
      </w:r>
      <w:r w:rsidRPr="000F0681">
        <w:rPr>
          <w:sz w:val="24"/>
          <w:szCs w:val="24"/>
        </w:rPr>
        <w:t>r. Leaders set the tone for the group, influencing the values and expectations that guide members' actions. Effective leaders inspire trust, promote a positive culture, and provide direction, while ineffective leadership can result in confusion, dissatisfaction, and a lack of motivation among members</w:t>
      </w:r>
      <w:r w:rsidR="00616577">
        <w:rPr>
          <w:sz w:val="24"/>
          <w:szCs w:val="24"/>
        </w:rPr>
        <w:t xml:space="preserve"> (Rostiawati</w:t>
      </w:r>
      <w:r w:rsidR="0088319E">
        <w:rPr>
          <w:sz w:val="24"/>
          <w:szCs w:val="24"/>
        </w:rPr>
        <w:t xml:space="preserve"> &amp; Akbar,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Norms and values within a group are important determinants of member behavio</w:t>
      </w:r>
      <w:r>
        <w:rPr>
          <w:sz w:val="24"/>
          <w:szCs w:val="24"/>
        </w:rPr>
        <w:t>u</w:t>
      </w:r>
      <w:r w:rsidRPr="000F0681">
        <w:rPr>
          <w:sz w:val="24"/>
          <w:szCs w:val="24"/>
        </w:rPr>
        <w:t>r. Norms are the unwritten rules that govern acceptable behavio</w:t>
      </w:r>
      <w:r>
        <w:rPr>
          <w:sz w:val="24"/>
          <w:szCs w:val="24"/>
        </w:rPr>
        <w:t>u</w:t>
      </w:r>
      <w:r w:rsidRPr="000F0681">
        <w:rPr>
          <w:sz w:val="24"/>
          <w:szCs w:val="24"/>
        </w:rPr>
        <w:t>r within a group, while values represent the shared principles and beliefs that members uphold. When members align their behavio</w:t>
      </w:r>
      <w:r>
        <w:rPr>
          <w:sz w:val="24"/>
          <w:szCs w:val="24"/>
        </w:rPr>
        <w:t>u</w:t>
      </w:r>
      <w:r w:rsidRPr="000F0681">
        <w:rPr>
          <w:sz w:val="24"/>
          <w:szCs w:val="24"/>
        </w:rPr>
        <w:t>r with group norms and values, it strengthens the group's identity and promotes a sense of unity. Deviation from these norms can lead to social sanctions or ostracism within the group</w:t>
      </w:r>
      <w:r w:rsidR="00616577">
        <w:rPr>
          <w:sz w:val="24"/>
          <w:szCs w:val="24"/>
        </w:rPr>
        <w:t xml:space="preserve"> (Brown &amp; Pehrson,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lastRenderedPageBreak/>
        <w:t>In addition to face-to-face interactions, online communities have become significant spaces for member behavio</w:t>
      </w:r>
      <w:r>
        <w:rPr>
          <w:sz w:val="24"/>
          <w:szCs w:val="24"/>
        </w:rPr>
        <w:t>u</w:t>
      </w:r>
      <w:r w:rsidRPr="000F0681">
        <w:rPr>
          <w:sz w:val="24"/>
          <w:szCs w:val="24"/>
        </w:rPr>
        <w:t>r analysis. In virtual environments, members engage through digital platforms, contributing to discussions, sharing information, and forming connections. The dynamics of online member behavio</w:t>
      </w:r>
      <w:r>
        <w:rPr>
          <w:sz w:val="24"/>
          <w:szCs w:val="24"/>
        </w:rPr>
        <w:t>u</w:t>
      </w:r>
      <w:r w:rsidRPr="000F0681">
        <w:rPr>
          <w:sz w:val="24"/>
          <w:szCs w:val="24"/>
        </w:rPr>
        <w:t>r include factors such as digital communication styles, online etiquette, and the impact of anonymity on individual behavio</w:t>
      </w:r>
      <w:r>
        <w:rPr>
          <w:sz w:val="24"/>
          <w:szCs w:val="24"/>
        </w:rPr>
        <w:t>u</w:t>
      </w:r>
      <w:r w:rsidRPr="000F0681">
        <w:rPr>
          <w:sz w:val="24"/>
          <w:szCs w:val="24"/>
        </w:rPr>
        <w:t>r</w:t>
      </w:r>
      <w:r w:rsidR="002C1369">
        <w:rPr>
          <w:sz w:val="24"/>
          <w:szCs w:val="24"/>
        </w:rPr>
        <w:t xml:space="preserve"> (Vohra &amp; Bhardwaj</w:t>
      </w:r>
      <w:r w:rsidR="002368A4">
        <w:rPr>
          <w:sz w:val="24"/>
          <w:szCs w:val="24"/>
        </w:rPr>
        <w:t>,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In conclusion, member behavio</w:t>
      </w:r>
      <w:r>
        <w:rPr>
          <w:sz w:val="24"/>
          <w:szCs w:val="24"/>
        </w:rPr>
        <w:t>u</w:t>
      </w:r>
      <w:r w:rsidRPr="000F0681">
        <w:rPr>
          <w:sz w:val="24"/>
          <w:szCs w:val="24"/>
        </w:rPr>
        <w:t>r is a multifaceted concept that encompasses the actions, attitudes, and interactions of individuals within a group or community. It is shaped by a complex interplay of internal and external factors, including personality, communication, collaboration, leadership, norms, and values. Understanding and managing member behavio</w:t>
      </w:r>
      <w:r>
        <w:rPr>
          <w:sz w:val="24"/>
          <w:szCs w:val="24"/>
        </w:rPr>
        <w:t>u</w:t>
      </w:r>
      <w:r w:rsidRPr="000F0681">
        <w:rPr>
          <w:sz w:val="24"/>
          <w:szCs w:val="24"/>
        </w:rPr>
        <w:t>r is crucial for fostering a positive group culture, achieving common goals, and maintaining the overall health and effectiveness of the collective entity</w:t>
      </w:r>
      <w:r w:rsidR="00616577">
        <w:rPr>
          <w:sz w:val="24"/>
          <w:szCs w:val="24"/>
        </w:rPr>
        <w:t xml:space="preserve"> (Griffin et al., 2023</w:t>
      </w:r>
      <w:r w:rsidR="00B12FFB">
        <w:rPr>
          <w:sz w:val="24"/>
          <w:szCs w:val="24"/>
        </w:rPr>
        <w:t>)</w:t>
      </w:r>
      <w:r w:rsidRPr="000F0681">
        <w:rPr>
          <w:sz w:val="24"/>
          <w:szCs w:val="24"/>
        </w:rPr>
        <w:t>.</w:t>
      </w: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C53457" w:rsidRDefault="00C53457" w:rsidP="00C53457">
      <w:pPr>
        <w:tabs>
          <w:tab w:val="left" w:pos="2070"/>
          <w:tab w:val="center" w:pos="4873"/>
        </w:tabs>
        <w:spacing w:line="480" w:lineRule="auto"/>
        <w:rPr>
          <w:sz w:val="24"/>
          <w:szCs w:val="24"/>
        </w:rPr>
      </w:pPr>
    </w:p>
    <w:p w:rsidR="00B1306C" w:rsidRPr="002E4299" w:rsidRDefault="00496F1B" w:rsidP="002E4299">
      <w:pPr>
        <w:tabs>
          <w:tab w:val="left" w:pos="2070"/>
          <w:tab w:val="center" w:pos="4873"/>
        </w:tabs>
        <w:spacing w:line="480" w:lineRule="auto"/>
        <w:jc w:val="center"/>
        <w:rPr>
          <w:b/>
          <w:sz w:val="24"/>
          <w:szCs w:val="24"/>
        </w:rPr>
      </w:pPr>
      <w:r w:rsidRPr="00496F1B">
        <w:rPr>
          <w:b/>
          <w:sz w:val="24"/>
          <w:szCs w:val="24"/>
        </w:rPr>
        <w:t>References</w:t>
      </w:r>
    </w:p>
    <w:p w:rsidR="002E4299" w:rsidRPr="002368A4" w:rsidRDefault="002E4299"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Brown, R., &amp; Pehrson, S. (2019). </w:t>
      </w:r>
      <w:r w:rsidRPr="002368A4">
        <w:rPr>
          <w:rFonts w:cstheme="minorHAnsi"/>
          <w:i/>
          <w:iCs/>
          <w:color w:val="222222"/>
          <w:sz w:val="24"/>
          <w:szCs w:val="24"/>
          <w:shd w:val="clear" w:color="auto" w:fill="FFFFFF"/>
        </w:rPr>
        <w:t>Group processes: Dynamics within and between groups</w:t>
      </w:r>
      <w:r w:rsidRPr="002368A4">
        <w:rPr>
          <w:rFonts w:cstheme="minorHAnsi"/>
          <w:color w:val="222222"/>
          <w:sz w:val="24"/>
          <w:szCs w:val="24"/>
          <w:shd w:val="clear" w:color="auto" w:fill="FFFFFF"/>
        </w:rPr>
        <w:t>. John Wiley &amp; Sons.</w:t>
      </w:r>
      <w:bookmarkStart w:id="0" w:name="_GoBack"/>
      <w:bookmarkEnd w:id="0"/>
    </w:p>
    <w:p w:rsidR="002E4299" w:rsidRPr="002368A4" w:rsidRDefault="002E4299"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Tasca, G. A. (2021). Twenty-five years of Group Dynamics: Theory, research and practice: Introduction to the special issue. </w:t>
      </w:r>
      <w:r w:rsidRPr="002368A4">
        <w:rPr>
          <w:rFonts w:cstheme="minorHAnsi"/>
          <w:i/>
          <w:iCs/>
          <w:color w:val="222222"/>
          <w:sz w:val="24"/>
          <w:szCs w:val="24"/>
          <w:shd w:val="clear" w:color="auto" w:fill="FFFFFF"/>
        </w:rPr>
        <w:t>Group Dynamics: Theory, Research, and Practice</w:t>
      </w:r>
      <w:r w:rsidRPr="002368A4">
        <w:rPr>
          <w:rFonts w:cstheme="minorHAnsi"/>
          <w:color w:val="222222"/>
          <w:sz w:val="24"/>
          <w:szCs w:val="24"/>
          <w:shd w:val="clear" w:color="auto" w:fill="FFFFFF"/>
        </w:rPr>
        <w:t>, </w:t>
      </w:r>
      <w:r w:rsidRPr="002368A4">
        <w:rPr>
          <w:rFonts w:cstheme="minorHAnsi"/>
          <w:i/>
          <w:iCs/>
          <w:color w:val="222222"/>
          <w:sz w:val="24"/>
          <w:szCs w:val="24"/>
          <w:shd w:val="clear" w:color="auto" w:fill="FFFFFF"/>
        </w:rPr>
        <w:t>25</w:t>
      </w:r>
      <w:r w:rsidRPr="002368A4">
        <w:rPr>
          <w:rFonts w:cstheme="minorHAnsi"/>
          <w:color w:val="222222"/>
          <w:sz w:val="24"/>
          <w:szCs w:val="24"/>
          <w:shd w:val="clear" w:color="auto" w:fill="FFFFFF"/>
        </w:rPr>
        <w:t>(3), 205.</w:t>
      </w:r>
    </w:p>
    <w:p w:rsidR="002E4299" w:rsidRPr="002368A4" w:rsidRDefault="00965790"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Griffin, R. W., Phillips, J. M., Gully, S. M., Creed, A., Gribble, L., &amp; Watson, M. (2023). </w:t>
      </w:r>
      <w:r w:rsidRPr="002368A4">
        <w:rPr>
          <w:rFonts w:cstheme="minorHAnsi"/>
          <w:i/>
          <w:iCs/>
          <w:color w:val="222222"/>
          <w:sz w:val="24"/>
          <w:szCs w:val="24"/>
          <w:shd w:val="clear" w:color="auto" w:fill="FFFFFF"/>
        </w:rPr>
        <w:t>Organisational behaviour: Engaging people and organisations</w:t>
      </w:r>
      <w:r w:rsidRPr="002368A4">
        <w:rPr>
          <w:rFonts w:cstheme="minorHAnsi"/>
          <w:color w:val="222222"/>
          <w:sz w:val="24"/>
          <w:szCs w:val="24"/>
          <w:shd w:val="clear" w:color="auto" w:fill="FFFFFF"/>
        </w:rPr>
        <w:t>. Cengage AU.</w:t>
      </w:r>
    </w:p>
    <w:p w:rsidR="00965790" w:rsidRPr="002368A4" w:rsidRDefault="00616577"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Ro</w:t>
      </w:r>
      <w:r w:rsidR="0088319E" w:rsidRPr="002368A4">
        <w:rPr>
          <w:rFonts w:cstheme="minorHAnsi"/>
          <w:color w:val="222222"/>
          <w:sz w:val="24"/>
          <w:szCs w:val="24"/>
          <w:shd w:val="clear" w:color="auto" w:fill="FFFFFF"/>
        </w:rPr>
        <w:t>stiawati, E.</w:t>
      </w:r>
      <w:r w:rsidRPr="002368A4">
        <w:rPr>
          <w:rFonts w:cstheme="minorHAnsi"/>
          <w:color w:val="222222"/>
          <w:sz w:val="24"/>
          <w:szCs w:val="24"/>
          <w:shd w:val="clear" w:color="auto" w:fill="FFFFFF"/>
        </w:rPr>
        <w:t xml:space="preserve"> &amp; Akbar, M. R. (2019, March). The influence of supervision, task commitment and job satisfaction on Organizational Citizenship Behavior (OCB) of training alumni. In </w:t>
      </w:r>
      <w:r w:rsidRPr="002368A4">
        <w:rPr>
          <w:rFonts w:cstheme="minorHAnsi"/>
          <w:i/>
          <w:iCs/>
          <w:color w:val="222222"/>
          <w:sz w:val="24"/>
          <w:szCs w:val="24"/>
          <w:shd w:val="clear" w:color="auto" w:fill="FFFFFF"/>
        </w:rPr>
        <w:t>ICTES 2018: Proceedings of the First International Conference on Technology and Educational Science, ICSTES 2018, November 21-22 2018, Bali, Indonesia</w:t>
      </w:r>
      <w:r w:rsidRPr="002368A4">
        <w:rPr>
          <w:rFonts w:cstheme="minorHAnsi"/>
          <w:color w:val="222222"/>
          <w:sz w:val="24"/>
          <w:szCs w:val="24"/>
          <w:shd w:val="clear" w:color="auto" w:fill="FFFFFF"/>
        </w:rPr>
        <w:t> (p. 340). European Alliance for Innovation.</w:t>
      </w:r>
    </w:p>
    <w:p w:rsidR="0088319E" w:rsidRPr="002368A4" w:rsidRDefault="0088319E"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Vohra, A., &amp; Bhardwaj, N. (2019). From active participation to engagement in online communities: Analysing the mediating role of trust and commitment. </w:t>
      </w:r>
      <w:r w:rsidRPr="002368A4">
        <w:rPr>
          <w:rFonts w:cstheme="minorHAnsi"/>
          <w:i/>
          <w:iCs/>
          <w:color w:val="222222"/>
          <w:sz w:val="24"/>
          <w:szCs w:val="24"/>
          <w:shd w:val="clear" w:color="auto" w:fill="FFFFFF"/>
        </w:rPr>
        <w:t>Journal of Marketing Communications</w:t>
      </w:r>
      <w:r w:rsidRPr="002368A4">
        <w:rPr>
          <w:rFonts w:cstheme="minorHAnsi"/>
          <w:color w:val="222222"/>
          <w:sz w:val="24"/>
          <w:szCs w:val="24"/>
          <w:shd w:val="clear" w:color="auto" w:fill="FFFFFF"/>
        </w:rPr>
        <w:t>, </w:t>
      </w:r>
      <w:r w:rsidRPr="002368A4">
        <w:rPr>
          <w:rFonts w:cstheme="minorHAnsi"/>
          <w:i/>
          <w:iCs/>
          <w:color w:val="222222"/>
          <w:sz w:val="24"/>
          <w:szCs w:val="24"/>
          <w:shd w:val="clear" w:color="auto" w:fill="FFFFFF"/>
        </w:rPr>
        <w:t>25</w:t>
      </w:r>
      <w:r w:rsidRPr="002368A4">
        <w:rPr>
          <w:rFonts w:cstheme="minorHAnsi"/>
          <w:color w:val="222222"/>
          <w:sz w:val="24"/>
          <w:szCs w:val="24"/>
          <w:shd w:val="clear" w:color="auto" w:fill="FFFFFF"/>
        </w:rPr>
        <w:t>(1), 89-114.</w:t>
      </w:r>
    </w:p>
    <w:p w:rsidR="002E4299" w:rsidRPr="002E4299" w:rsidRDefault="002E4299" w:rsidP="002E4299">
      <w:pPr>
        <w:spacing w:line="480" w:lineRule="auto"/>
        <w:ind w:left="720" w:hanging="720"/>
        <w:rPr>
          <w:rFonts w:ascii="Arial" w:hAnsi="Arial" w:cs="Arial"/>
          <w:color w:val="222222"/>
          <w:sz w:val="20"/>
          <w:szCs w:val="20"/>
          <w:shd w:val="clear" w:color="auto" w:fill="FFFFFF"/>
        </w:rPr>
      </w:pPr>
    </w:p>
    <w:p w:rsidR="00B1306C" w:rsidRPr="009849BF" w:rsidRDefault="00B1306C" w:rsidP="00B1306C">
      <w:pPr>
        <w:spacing w:line="480" w:lineRule="auto"/>
        <w:ind w:left="720" w:hanging="720"/>
        <w:rPr>
          <w:rFonts w:cstheme="minorHAnsi"/>
          <w:color w:val="222222"/>
          <w:sz w:val="24"/>
          <w:szCs w:val="24"/>
          <w:shd w:val="clear" w:color="auto" w:fill="FFFFFF"/>
        </w:rPr>
      </w:pPr>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26" w:rsidRDefault="00BF4326" w:rsidP="00740CAA">
      <w:pPr>
        <w:spacing w:after="0" w:line="240" w:lineRule="auto"/>
      </w:pPr>
      <w:r>
        <w:separator/>
      </w:r>
    </w:p>
  </w:endnote>
  <w:endnote w:type="continuationSeparator" w:id="0">
    <w:p w:rsidR="00BF4326" w:rsidRDefault="00BF4326"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26" w:rsidRDefault="00BF4326" w:rsidP="00740CAA">
      <w:pPr>
        <w:spacing w:after="0" w:line="240" w:lineRule="auto"/>
      </w:pPr>
      <w:r>
        <w:separator/>
      </w:r>
    </w:p>
  </w:footnote>
  <w:footnote w:type="continuationSeparator" w:id="0">
    <w:p w:rsidR="00BF4326" w:rsidRDefault="00BF4326"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0D7129">
          <w:rPr>
            <w:noProof/>
          </w:rPr>
          <w:t>1</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0D7129"/>
    <w:rsid w:val="000F0681"/>
    <w:rsid w:val="00102D66"/>
    <w:rsid w:val="0011242C"/>
    <w:rsid w:val="001D4048"/>
    <w:rsid w:val="002368A4"/>
    <w:rsid w:val="00263506"/>
    <w:rsid w:val="002C1369"/>
    <w:rsid w:val="002E4299"/>
    <w:rsid w:val="00411E36"/>
    <w:rsid w:val="00496F1B"/>
    <w:rsid w:val="004B6AA3"/>
    <w:rsid w:val="004E7392"/>
    <w:rsid w:val="0053679D"/>
    <w:rsid w:val="005839FE"/>
    <w:rsid w:val="005873A7"/>
    <w:rsid w:val="00616577"/>
    <w:rsid w:val="00740CAA"/>
    <w:rsid w:val="007F57A9"/>
    <w:rsid w:val="0088319E"/>
    <w:rsid w:val="00883CD0"/>
    <w:rsid w:val="00952301"/>
    <w:rsid w:val="009621E2"/>
    <w:rsid w:val="00965790"/>
    <w:rsid w:val="009849BF"/>
    <w:rsid w:val="00AB3CBD"/>
    <w:rsid w:val="00B12FFB"/>
    <w:rsid w:val="00B1306C"/>
    <w:rsid w:val="00BF4326"/>
    <w:rsid w:val="00C53457"/>
    <w:rsid w:val="00C62281"/>
    <w:rsid w:val="00CB4002"/>
    <w:rsid w:val="00EF2425"/>
    <w:rsid w:val="00F0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786965681">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5D86-9964-4D37-996A-0A390A99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2023-11-18T15:52:00Z</dcterms:created>
  <dcterms:modified xsi:type="dcterms:W3CDTF">2023-11-18T15:52:00Z</dcterms:modified>
</cp:coreProperties>
</file>