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824B" w14:textId="77777777" w:rsidR="00FD2D85" w:rsidRDefault="00FD2D85" w:rsidP="005A50F3">
      <w:pPr>
        <w:jc w:val="center"/>
      </w:pPr>
    </w:p>
    <w:p w14:paraId="6782567A" w14:textId="77777777" w:rsidR="005A50F3" w:rsidRDefault="005A50F3" w:rsidP="005A50F3">
      <w:pPr>
        <w:jc w:val="center"/>
      </w:pPr>
    </w:p>
    <w:p w14:paraId="0E3C815B" w14:textId="77777777" w:rsidR="005A50F3" w:rsidRDefault="005A50F3" w:rsidP="005A50F3">
      <w:pPr>
        <w:jc w:val="center"/>
      </w:pPr>
    </w:p>
    <w:p w14:paraId="423B3D46" w14:textId="77777777" w:rsidR="005A50F3" w:rsidRDefault="005A50F3" w:rsidP="005A50F3">
      <w:pPr>
        <w:jc w:val="center"/>
      </w:pPr>
    </w:p>
    <w:p w14:paraId="75AA8FA0" w14:textId="77777777" w:rsidR="005A50F3" w:rsidRDefault="005A50F3" w:rsidP="005A50F3">
      <w:pPr>
        <w:jc w:val="center"/>
      </w:pPr>
    </w:p>
    <w:p w14:paraId="2B54EE3A" w14:textId="77777777" w:rsidR="005A50F3" w:rsidRDefault="005A50F3" w:rsidP="005A50F3">
      <w:pPr>
        <w:jc w:val="center"/>
      </w:pPr>
    </w:p>
    <w:p w14:paraId="7443FFB5" w14:textId="77777777" w:rsidR="005A50F3" w:rsidRDefault="005A50F3" w:rsidP="005A50F3">
      <w:pPr>
        <w:jc w:val="center"/>
      </w:pPr>
    </w:p>
    <w:p w14:paraId="6FB5BE62" w14:textId="77777777" w:rsidR="005A50F3" w:rsidRDefault="005A50F3" w:rsidP="005A50F3">
      <w:pPr>
        <w:jc w:val="center"/>
      </w:pPr>
    </w:p>
    <w:p w14:paraId="2A55AAB7" w14:textId="77777777" w:rsidR="005A50F3" w:rsidRDefault="005A50F3" w:rsidP="005A50F3">
      <w:pPr>
        <w:jc w:val="center"/>
      </w:pPr>
    </w:p>
    <w:p w14:paraId="338304B9" w14:textId="77777777" w:rsidR="005A50F3" w:rsidRDefault="00000000" w:rsidP="005A50F3">
      <w:pPr>
        <w:jc w:val="center"/>
        <w:rPr>
          <w:rFonts w:ascii="Times New Roman" w:hAnsi="Times New Roman" w:cs="Times New Roman"/>
          <w:b/>
          <w:bCs/>
          <w:sz w:val="24"/>
          <w:szCs w:val="24"/>
        </w:rPr>
      </w:pPr>
      <w:r>
        <w:rPr>
          <w:rFonts w:ascii="Times New Roman" w:hAnsi="Times New Roman" w:cs="Times New Roman"/>
          <w:b/>
          <w:bCs/>
          <w:sz w:val="24"/>
          <w:szCs w:val="24"/>
        </w:rPr>
        <w:t xml:space="preserve">Environmental </w:t>
      </w:r>
      <w:r w:rsidR="007D5FF8">
        <w:rPr>
          <w:rFonts w:ascii="Times New Roman" w:hAnsi="Times New Roman" w:cs="Times New Roman"/>
          <w:b/>
          <w:bCs/>
          <w:sz w:val="24"/>
          <w:szCs w:val="24"/>
        </w:rPr>
        <w:t>S</w:t>
      </w:r>
      <w:r>
        <w:rPr>
          <w:rFonts w:ascii="Times New Roman" w:hAnsi="Times New Roman" w:cs="Times New Roman"/>
          <w:b/>
          <w:bCs/>
          <w:sz w:val="24"/>
          <w:szCs w:val="24"/>
        </w:rPr>
        <w:t>cience</w:t>
      </w:r>
    </w:p>
    <w:p w14:paraId="445909AB" w14:textId="77777777" w:rsidR="007D5FF8" w:rsidRDefault="007D5FF8" w:rsidP="005A50F3">
      <w:pPr>
        <w:jc w:val="center"/>
        <w:rPr>
          <w:rFonts w:ascii="Times New Roman" w:hAnsi="Times New Roman" w:cs="Times New Roman"/>
          <w:b/>
          <w:bCs/>
          <w:sz w:val="24"/>
          <w:szCs w:val="24"/>
        </w:rPr>
      </w:pPr>
    </w:p>
    <w:p w14:paraId="26D4C482" w14:textId="77777777" w:rsidR="007D5FF8" w:rsidRDefault="007D5FF8" w:rsidP="005A50F3">
      <w:pPr>
        <w:jc w:val="center"/>
        <w:rPr>
          <w:rFonts w:ascii="Times New Roman" w:hAnsi="Times New Roman" w:cs="Times New Roman"/>
          <w:b/>
          <w:bCs/>
          <w:sz w:val="24"/>
          <w:szCs w:val="24"/>
        </w:rPr>
      </w:pPr>
    </w:p>
    <w:p w14:paraId="4B836B78" w14:textId="77777777" w:rsidR="007D5FF8" w:rsidRDefault="007D5FF8" w:rsidP="005A50F3">
      <w:pPr>
        <w:jc w:val="center"/>
        <w:rPr>
          <w:rFonts w:ascii="Times New Roman" w:hAnsi="Times New Roman" w:cs="Times New Roman"/>
          <w:b/>
          <w:bCs/>
          <w:sz w:val="24"/>
          <w:szCs w:val="24"/>
        </w:rPr>
      </w:pPr>
    </w:p>
    <w:p w14:paraId="0BBEB5EF" w14:textId="77777777" w:rsidR="005A50F3" w:rsidRDefault="00000000" w:rsidP="005A50F3">
      <w:pPr>
        <w:jc w:val="center"/>
        <w:rPr>
          <w:rFonts w:ascii="Times New Roman" w:hAnsi="Times New Roman" w:cs="Times New Roman"/>
          <w:sz w:val="24"/>
          <w:szCs w:val="24"/>
        </w:rPr>
      </w:pPr>
      <w:r>
        <w:rPr>
          <w:rFonts w:ascii="Times New Roman" w:hAnsi="Times New Roman" w:cs="Times New Roman"/>
          <w:sz w:val="24"/>
          <w:szCs w:val="24"/>
        </w:rPr>
        <w:t>Name</w:t>
      </w:r>
    </w:p>
    <w:p w14:paraId="2E565569" w14:textId="77777777" w:rsidR="006444B0" w:rsidRPr="007D5FF8" w:rsidRDefault="00000000" w:rsidP="005A50F3">
      <w:pPr>
        <w:jc w:val="center"/>
        <w:rPr>
          <w:rFonts w:ascii="Times New Roman" w:hAnsi="Times New Roman" w:cs="Times New Roman"/>
          <w:sz w:val="24"/>
          <w:szCs w:val="24"/>
        </w:rPr>
      </w:pPr>
      <w:r>
        <w:rPr>
          <w:rFonts w:ascii="Times New Roman" w:hAnsi="Times New Roman" w:cs="Times New Roman"/>
          <w:sz w:val="24"/>
          <w:szCs w:val="24"/>
        </w:rPr>
        <w:t>professor</w:t>
      </w:r>
    </w:p>
    <w:p w14:paraId="411770D7" w14:textId="77777777" w:rsidR="005A50F3" w:rsidRDefault="00000000" w:rsidP="005A50F3">
      <w:pPr>
        <w:jc w:val="center"/>
        <w:rPr>
          <w:rFonts w:ascii="Times New Roman" w:hAnsi="Times New Roman" w:cs="Times New Roman"/>
          <w:sz w:val="24"/>
          <w:szCs w:val="24"/>
        </w:rPr>
      </w:pPr>
      <w:r w:rsidRPr="007D5FF8">
        <w:rPr>
          <w:rFonts w:ascii="Times New Roman" w:hAnsi="Times New Roman" w:cs="Times New Roman"/>
          <w:sz w:val="24"/>
          <w:szCs w:val="24"/>
        </w:rPr>
        <w:t>Institution</w:t>
      </w:r>
      <w:r w:rsidR="006444B0">
        <w:rPr>
          <w:rFonts w:ascii="Times New Roman" w:hAnsi="Times New Roman" w:cs="Times New Roman"/>
          <w:sz w:val="24"/>
          <w:szCs w:val="24"/>
        </w:rPr>
        <w:t xml:space="preserve"> Affiliations</w:t>
      </w:r>
    </w:p>
    <w:p w14:paraId="3B50BDD3" w14:textId="77777777" w:rsidR="007D5FF8" w:rsidRPr="007D5FF8" w:rsidRDefault="00000000" w:rsidP="005A50F3">
      <w:pPr>
        <w:jc w:val="center"/>
        <w:rPr>
          <w:rFonts w:ascii="Times New Roman" w:hAnsi="Times New Roman" w:cs="Times New Roman"/>
          <w:sz w:val="24"/>
          <w:szCs w:val="24"/>
        </w:rPr>
      </w:pPr>
      <w:r>
        <w:rPr>
          <w:rFonts w:ascii="Times New Roman" w:hAnsi="Times New Roman" w:cs="Times New Roman"/>
          <w:sz w:val="24"/>
          <w:szCs w:val="24"/>
        </w:rPr>
        <w:t>Course</w:t>
      </w:r>
    </w:p>
    <w:p w14:paraId="238F19B3" w14:textId="77777777" w:rsidR="005A50F3" w:rsidRDefault="00000000" w:rsidP="005A50F3">
      <w:pPr>
        <w:jc w:val="center"/>
        <w:rPr>
          <w:rFonts w:ascii="Times New Roman" w:hAnsi="Times New Roman" w:cs="Times New Roman"/>
          <w:sz w:val="24"/>
          <w:szCs w:val="24"/>
        </w:rPr>
      </w:pPr>
      <w:r w:rsidRPr="007D5FF8">
        <w:rPr>
          <w:rFonts w:ascii="Times New Roman" w:hAnsi="Times New Roman" w:cs="Times New Roman"/>
          <w:sz w:val="24"/>
          <w:szCs w:val="24"/>
        </w:rPr>
        <w:t>Date</w:t>
      </w:r>
    </w:p>
    <w:p w14:paraId="43D9BDE5" w14:textId="77777777" w:rsidR="007D5FF8" w:rsidRDefault="007D5FF8" w:rsidP="005A50F3">
      <w:pPr>
        <w:jc w:val="center"/>
        <w:rPr>
          <w:rFonts w:ascii="Times New Roman" w:hAnsi="Times New Roman" w:cs="Times New Roman"/>
          <w:sz w:val="24"/>
          <w:szCs w:val="24"/>
        </w:rPr>
      </w:pPr>
    </w:p>
    <w:p w14:paraId="1356DA2D" w14:textId="77777777" w:rsidR="007D5FF8" w:rsidRDefault="007D5FF8" w:rsidP="005A50F3">
      <w:pPr>
        <w:jc w:val="center"/>
        <w:rPr>
          <w:rFonts w:ascii="Times New Roman" w:hAnsi="Times New Roman" w:cs="Times New Roman"/>
          <w:sz w:val="24"/>
          <w:szCs w:val="24"/>
        </w:rPr>
      </w:pPr>
    </w:p>
    <w:p w14:paraId="05FCBDFA" w14:textId="77777777" w:rsidR="007D5FF8" w:rsidRDefault="007D5FF8" w:rsidP="005A50F3">
      <w:pPr>
        <w:jc w:val="center"/>
        <w:rPr>
          <w:rFonts w:ascii="Times New Roman" w:hAnsi="Times New Roman" w:cs="Times New Roman"/>
          <w:sz w:val="24"/>
          <w:szCs w:val="24"/>
        </w:rPr>
      </w:pPr>
    </w:p>
    <w:p w14:paraId="4C10DA30" w14:textId="77777777" w:rsidR="007D5FF8" w:rsidRDefault="007D5FF8" w:rsidP="005A50F3">
      <w:pPr>
        <w:jc w:val="center"/>
        <w:rPr>
          <w:rFonts w:ascii="Times New Roman" w:hAnsi="Times New Roman" w:cs="Times New Roman"/>
          <w:sz w:val="24"/>
          <w:szCs w:val="24"/>
        </w:rPr>
      </w:pPr>
    </w:p>
    <w:p w14:paraId="3D8F5062" w14:textId="77777777" w:rsidR="007D5FF8" w:rsidRDefault="007D5FF8" w:rsidP="005A50F3">
      <w:pPr>
        <w:jc w:val="center"/>
        <w:rPr>
          <w:rFonts w:ascii="Times New Roman" w:hAnsi="Times New Roman" w:cs="Times New Roman"/>
          <w:sz w:val="24"/>
          <w:szCs w:val="24"/>
        </w:rPr>
      </w:pPr>
    </w:p>
    <w:p w14:paraId="3E0B9D7D" w14:textId="77777777" w:rsidR="007D5FF8" w:rsidRDefault="007D5FF8" w:rsidP="005A50F3">
      <w:pPr>
        <w:jc w:val="center"/>
        <w:rPr>
          <w:rFonts w:ascii="Times New Roman" w:hAnsi="Times New Roman" w:cs="Times New Roman"/>
          <w:sz w:val="24"/>
          <w:szCs w:val="24"/>
        </w:rPr>
      </w:pPr>
    </w:p>
    <w:p w14:paraId="5EA58EBD" w14:textId="77777777" w:rsidR="007D5FF8" w:rsidRDefault="007D5FF8" w:rsidP="005A50F3">
      <w:pPr>
        <w:jc w:val="center"/>
        <w:rPr>
          <w:rFonts w:ascii="Times New Roman" w:hAnsi="Times New Roman" w:cs="Times New Roman"/>
          <w:sz w:val="24"/>
          <w:szCs w:val="24"/>
        </w:rPr>
      </w:pPr>
    </w:p>
    <w:p w14:paraId="1061C9B2" w14:textId="77777777" w:rsidR="007D5FF8" w:rsidRDefault="007D5FF8" w:rsidP="005A50F3">
      <w:pPr>
        <w:jc w:val="center"/>
        <w:rPr>
          <w:rFonts w:ascii="Times New Roman" w:hAnsi="Times New Roman" w:cs="Times New Roman"/>
          <w:sz w:val="24"/>
          <w:szCs w:val="24"/>
        </w:rPr>
      </w:pPr>
    </w:p>
    <w:p w14:paraId="12836DC2" w14:textId="77777777" w:rsidR="007D5FF8" w:rsidRDefault="007D5FF8" w:rsidP="00756BDB">
      <w:pPr>
        <w:rPr>
          <w:rFonts w:ascii="Times New Roman" w:hAnsi="Times New Roman" w:cs="Times New Roman"/>
          <w:sz w:val="24"/>
          <w:szCs w:val="24"/>
        </w:rPr>
      </w:pPr>
    </w:p>
    <w:p w14:paraId="571678E0" w14:textId="77777777" w:rsidR="00756BDB" w:rsidRDefault="00756BDB" w:rsidP="00756BDB">
      <w:pPr>
        <w:rPr>
          <w:rFonts w:ascii="Times New Roman" w:hAnsi="Times New Roman" w:cs="Times New Roman"/>
          <w:sz w:val="24"/>
          <w:szCs w:val="24"/>
        </w:rPr>
      </w:pPr>
    </w:p>
    <w:p w14:paraId="14281B92" w14:textId="77777777" w:rsidR="007D5FF8" w:rsidRDefault="00000000" w:rsidP="005A50F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Environmental Science</w:t>
      </w:r>
    </w:p>
    <w:p w14:paraId="2C0C1C86" w14:textId="59A82DB3" w:rsidR="00F81B2C" w:rsidRDefault="00000000" w:rsidP="00493F6C">
      <w:pPr>
        <w:spacing w:line="480" w:lineRule="auto"/>
        <w:ind w:firstLine="720"/>
        <w:rPr>
          <w:rFonts w:ascii="Times New Roman" w:hAnsi="Times New Roman" w:cs="Times New Roman"/>
          <w:sz w:val="24"/>
          <w:szCs w:val="24"/>
        </w:rPr>
      </w:pPr>
      <w:bookmarkStart w:id="0" w:name="_Hlk151561939"/>
      <w:r>
        <w:rPr>
          <w:rFonts w:ascii="Times New Roman" w:hAnsi="Times New Roman" w:cs="Times New Roman"/>
          <w:sz w:val="24"/>
          <w:szCs w:val="24"/>
        </w:rPr>
        <w:t>Acute hospital care involves treating patients suffering from severe illnesses that are a result of trauma or after going through surgery for a short period. Various health practitioners provide Acute hospital care at health centers using medical supplies, pharmaceuticals, and technical equipment. In summary, an acute care hospital is an institution that has medical personnel</w:t>
      </w:r>
      <w:r w:rsidR="007907C8">
        <w:rPr>
          <w:rFonts w:ascii="Times New Roman" w:hAnsi="Times New Roman" w:cs="Times New Roman"/>
          <w:sz w:val="24"/>
          <w:szCs w:val="24"/>
        </w:rPr>
        <w:t xml:space="preserve"> and resources that help care for and treat patients who are suffering from injuries and severe medical issues (The Health Foundation, 2023).</w:t>
      </w:r>
      <w:bookmarkEnd w:id="0"/>
      <w:r w:rsidR="00493F6C">
        <w:rPr>
          <w:rFonts w:ascii="Times New Roman" w:hAnsi="Times New Roman" w:cs="Times New Roman"/>
          <w:sz w:val="24"/>
          <w:szCs w:val="24"/>
        </w:rPr>
        <w:t xml:space="preserve"> </w:t>
      </w:r>
      <w:r w:rsidRPr="00D33C30">
        <w:rPr>
          <w:rFonts w:ascii="Times New Roman" w:hAnsi="Times New Roman" w:cs="Times New Roman"/>
          <w:sz w:val="24"/>
          <w:szCs w:val="24"/>
        </w:rPr>
        <w:t xml:space="preserve">Primary healthcare is a society-driven approach that targets having the best possible well-being and health. This is made possible by focusing on what people need early to </w:t>
      </w:r>
      <w:r w:rsidR="006456EB">
        <w:rPr>
          <w:rFonts w:ascii="Times New Roman" w:hAnsi="Times New Roman" w:cs="Times New Roman"/>
          <w:sz w:val="24"/>
          <w:szCs w:val="24"/>
        </w:rPr>
        <w:t>aid</w:t>
      </w:r>
      <w:r w:rsidRPr="00D33C30">
        <w:rPr>
          <w:rFonts w:ascii="Times New Roman" w:hAnsi="Times New Roman" w:cs="Times New Roman"/>
          <w:sz w:val="24"/>
          <w:szCs w:val="24"/>
        </w:rPr>
        <w:t xml:space="preserve"> disease prevention, treatment, palliative care, and rehabilitation (WHO, 2023). </w:t>
      </w:r>
      <w:r w:rsidR="003B35CD" w:rsidRPr="00D33C30">
        <w:rPr>
          <w:rFonts w:ascii="Times New Roman" w:hAnsi="Times New Roman" w:cs="Times New Roman"/>
          <w:sz w:val="24"/>
          <w:szCs w:val="24"/>
        </w:rPr>
        <w:t xml:space="preserve">According to research done by Dr. Kerr white in 1961, which is still </w:t>
      </w:r>
      <w:r w:rsidR="00756BDB">
        <w:rPr>
          <w:rFonts w:ascii="Times New Roman" w:hAnsi="Times New Roman" w:cs="Times New Roman"/>
          <w:sz w:val="24"/>
          <w:szCs w:val="24"/>
        </w:rPr>
        <w:t xml:space="preserve">relevant </w:t>
      </w:r>
      <w:r w:rsidR="003B35CD" w:rsidRPr="00D33C30">
        <w:rPr>
          <w:rFonts w:ascii="Times New Roman" w:hAnsi="Times New Roman" w:cs="Times New Roman"/>
          <w:sz w:val="24"/>
          <w:szCs w:val="24"/>
        </w:rPr>
        <w:t xml:space="preserve">today, the primary care workforce in the </w:t>
      </w:r>
      <w:r w:rsidR="00D33C30" w:rsidRPr="00D33C30">
        <w:rPr>
          <w:rFonts w:ascii="Times New Roman" w:hAnsi="Times New Roman" w:cs="Times New Roman"/>
          <w:sz w:val="24"/>
          <w:szCs w:val="24"/>
        </w:rPr>
        <w:t>U</w:t>
      </w:r>
      <w:r w:rsidR="003B35CD" w:rsidRPr="00D33C30">
        <w:rPr>
          <w:rFonts w:ascii="Times New Roman" w:hAnsi="Times New Roman" w:cs="Times New Roman"/>
          <w:sz w:val="24"/>
          <w:szCs w:val="24"/>
        </w:rPr>
        <w:t xml:space="preserve">nited </w:t>
      </w:r>
      <w:r w:rsidR="00D33C30" w:rsidRPr="00D33C30">
        <w:rPr>
          <w:rFonts w:ascii="Times New Roman" w:hAnsi="Times New Roman" w:cs="Times New Roman"/>
          <w:sz w:val="24"/>
          <w:szCs w:val="24"/>
        </w:rPr>
        <w:t>S</w:t>
      </w:r>
      <w:r w:rsidR="003B35CD" w:rsidRPr="00D33C30">
        <w:rPr>
          <w:rFonts w:ascii="Times New Roman" w:hAnsi="Times New Roman" w:cs="Times New Roman"/>
          <w:sz w:val="24"/>
          <w:szCs w:val="24"/>
        </w:rPr>
        <w:t xml:space="preserve">tates has reduced to a </w:t>
      </w:r>
      <w:r w:rsidR="00D33C30">
        <w:rPr>
          <w:rFonts w:ascii="Times New Roman" w:hAnsi="Times New Roman" w:cs="Times New Roman"/>
          <w:sz w:val="24"/>
          <w:szCs w:val="24"/>
        </w:rPr>
        <w:t>disturbing</w:t>
      </w:r>
      <w:r w:rsidR="003B35CD" w:rsidRPr="00D33C30">
        <w:rPr>
          <w:rFonts w:ascii="Times New Roman" w:hAnsi="Times New Roman" w:cs="Times New Roman"/>
          <w:sz w:val="24"/>
          <w:szCs w:val="24"/>
        </w:rPr>
        <w:t xml:space="preserve"> 31% while the number of specialists in the country continues to grow </w:t>
      </w:r>
      <w:r w:rsidR="00D33C30" w:rsidRPr="00D33C30">
        <w:rPr>
          <w:rFonts w:ascii="Times New Roman" w:hAnsi="Times New Roman" w:cs="Times New Roman"/>
          <w:sz w:val="24"/>
          <w:szCs w:val="24"/>
        </w:rPr>
        <w:t>(Willis, 2020).</w:t>
      </w:r>
      <w:r w:rsidR="008D4DBA">
        <w:rPr>
          <w:rFonts w:ascii="Times New Roman" w:hAnsi="Times New Roman" w:cs="Times New Roman"/>
          <w:sz w:val="24"/>
          <w:szCs w:val="24"/>
        </w:rPr>
        <w:t xml:space="preserve"> </w:t>
      </w:r>
      <w:r w:rsidR="004B46DC">
        <w:rPr>
          <w:rFonts w:ascii="Times New Roman" w:hAnsi="Times New Roman" w:cs="Times New Roman"/>
          <w:sz w:val="24"/>
          <w:szCs w:val="24"/>
        </w:rPr>
        <w:t xml:space="preserve">Most governments have often picked to fund and mainly focus on acute hospital care, leaving behind sectors such as </w:t>
      </w:r>
      <w:r>
        <w:rPr>
          <w:rFonts w:ascii="Times New Roman" w:hAnsi="Times New Roman" w:cs="Times New Roman"/>
          <w:sz w:val="24"/>
          <w:szCs w:val="24"/>
        </w:rPr>
        <w:t>primary care for citizens less funded</w:t>
      </w:r>
      <w:r w:rsidR="00E823A0">
        <w:rPr>
          <w:rFonts w:ascii="Times New Roman" w:hAnsi="Times New Roman" w:cs="Times New Roman"/>
          <w:sz w:val="24"/>
          <w:szCs w:val="24"/>
        </w:rPr>
        <w:t xml:space="preserve">. </w:t>
      </w:r>
      <w:r w:rsidR="004B46DC">
        <w:rPr>
          <w:rFonts w:ascii="Times New Roman" w:hAnsi="Times New Roman" w:cs="Times New Roman"/>
          <w:sz w:val="24"/>
          <w:szCs w:val="24"/>
        </w:rPr>
        <w:t>This approach</w:t>
      </w:r>
      <w:r w:rsidR="00351AC8">
        <w:rPr>
          <w:rFonts w:ascii="Times New Roman" w:hAnsi="Times New Roman" w:cs="Times New Roman"/>
          <w:sz w:val="24"/>
          <w:szCs w:val="24"/>
        </w:rPr>
        <w:t xml:space="preserve"> method</w:t>
      </w:r>
      <w:r w:rsidR="004B46DC">
        <w:rPr>
          <w:rFonts w:ascii="Times New Roman" w:hAnsi="Times New Roman" w:cs="Times New Roman"/>
          <w:sz w:val="24"/>
          <w:szCs w:val="24"/>
        </w:rPr>
        <w:t xml:space="preserve"> </w:t>
      </w:r>
      <w:r w:rsidR="00E823A0">
        <w:rPr>
          <w:rFonts w:ascii="Times New Roman" w:hAnsi="Times New Roman" w:cs="Times New Roman"/>
          <w:sz w:val="24"/>
          <w:szCs w:val="24"/>
        </w:rPr>
        <w:t xml:space="preserve">is effective in ensuring that immediate health crises are mitigated. However, more is needed </w:t>
      </w:r>
      <w:r w:rsidR="00756BDB">
        <w:rPr>
          <w:rFonts w:ascii="Times New Roman" w:hAnsi="Times New Roman" w:cs="Times New Roman"/>
          <w:sz w:val="24"/>
          <w:szCs w:val="24"/>
        </w:rPr>
        <w:t>to</w:t>
      </w:r>
      <w:r w:rsidR="00E823A0">
        <w:rPr>
          <w:rFonts w:ascii="Times New Roman" w:hAnsi="Times New Roman" w:cs="Times New Roman"/>
          <w:sz w:val="24"/>
          <w:szCs w:val="24"/>
        </w:rPr>
        <w:t xml:space="preserve"> take care of the long-term health challenges</w:t>
      </w:r>
      <w:r w:rsidR="00D33C30">
        <w:rPr>
          <w:rFonts w:ascii="Times New Roman" w:hAnsi="Times New Roman" w:cs="Times New Roman"/>
          <w:sz w:val="24"/>
          <w:szCs w:val="24"/>
        </w:rPr>
        <w:t>.</w:t>
      </w:r>
      <w:r w:rsidR="00E823A0">
        <w:rPr>
          <w:rFonts w:ascii="Times New Roman" w:hAnsi="Times New Roman" w:cs="Times New Roman"/>
          <w:sz w:val="24"/>
          <w:szCs w:val="24"/>
        </w:rPr>
        <w:t xml:space="preserve"> This essay proposes a shift toward a more holistic way of addressing chronic diseases </w:t>
      </w:r>
      <w:r w:rsidR="00D33C30">
        <w:rPr>
          <w:rFonts w:ascii="Times New Roman" w:hAnsi="Times New Roman" w:cs="Times New Roman"/>
          <w:sz w:val="24"/>
          <w:szCs w:val="24"/>
        </w:rPr>
        <w:t xml:space="preserve">that encourages governments to increase the </w:t>
      </w:r>
      <w:r w:rsidR="006456EB">
        <w:rPr>
          <w:rFonts w:ascii="Times New Roman" w:hAnsi="Times New Roman" w:cs="Times New Roman"/>
          <w:sz w:val="24"/>
          <w:szCs w:val="24"/>
        </w:rPr>
        <w:t xml:space="preserve">amount of resources in disease prevention and management as opposed to acute hospital care. </w:t>
      </w:r>
    </w:p>
    <w:p w14:paraId="7E219EC8" w14:textId="77777777" w:rsidR="00493F6C" w:rsidRDefault="00000000" w:rsidP="00B604E3">
      <w:pPr>
        <w:spacing w:line="480" w:lineRule="auto"/>
        <w:ind w:firstLine="720"/>
        <w:rPr>
          <w:rFonts w:ascii="Times New Roman" w:hAnsi="Times New Roman" w:cs="Times New Roman"/>
          <w:sz w:val="24"/>
          <w:szCs w:val="24"/>
        </w:rPr>
      </w:pPr>
      <w:bookmarkStart w:id="1" w:name="_Hlk151564140"/>
      <w:r w:rsidRPr="00E8312A">
        <w:rPr>
          <w:rFonts w:ascii="Times New Roman" w:hAnsi="Times New Roman" w:cs="Times New Roman"/>
          <w:sz w:val="24"/>
          <w:szCs w:val="24"/>
        </w:rPr>
        <w:t>According to</w:t>
      </w:r>
      <w:r w:rsidR="00122C62" w:rsidRPr="00E8312A">
        <w:rPr>
          <w:rFonts w:ascii="Times New Roman" w:hAnsi="Times New Roman" w:cs="Times New Roman"/>
          <w:sz w:val="24"/>
          <w:szCs w:val="24"/>
        </w:rPr>
        <w:t xml:space="preserve"> Health Care, 2023</w:t>
      </w:r>
      <w:r w:rsidRPr="00E8312A">
        <w:rPr>
          <w:rFonts w:ascii="Times New Roman" w:hAnsi="Times New Roman" w:cs="Times New Roman"/>
          <w:sz w:val="24"/>
          <w:szCs w:val="24"/>
        </w:rPr>
        <w:t>, preventive care is any effort made through medical services that minimizes the likelihood of health emergencies</w:t>
      </w:r>
      <w:r w:rsidR="00122C62" w:rsidRPr="00E8312A">
        <w:rPr>
          <w:rFonts w:ascii="Times New Roman" w:hAnsi="Times New Roman" w:cs="Times New Roman"/>
          <w:sz w:val="24"/>
          <w:szCs w:val="24"/>
        </w:rPr>
        <w:t xml:space="preserve"> through screenings</w:t>
      </w:r>
      <w:r w:rsidR="00E8312A" w:rsidRPr="00E8312A">
        <w:rPr>
          <w:rFonts w:ascii="Times New Roman" w:hAnsi="Times New Roman" w:cs="Times New Roman"/>
          <w:sz w:val="24"/>
          <w:szCs w:val="24"/>
        </w:rPr>
        <w:t>, patient counseling, and check-ups</w:t>
      </w:r>
      <w:r w:rsidR="009740AE">
        <w:rPr>
          <w:rFonts w:ascii="Times New Roman" w:hAnsi="Times New Roman" w:cs="Times New Roman"/>
          <w:sz w:val="24"/>
          <w:szCs w:val="24"/>
        </w:rPr>
        <w:t xml:space="preserve">. The United States healthcare system is said to be more reactive than proactive since it has, for the longest time, been more divulged in treating patients after they have already suffered from illnesses rather than preventing the spread of the illnesses. There are </w:t>
      </w:r>
      <w:r w:rsidR="009740AE">
        <w:rPr>
          <w:rFonts w:ascii="Times New Roman" w:hAnsi="Times New Roman" w:cs="Times New Roman"/>
          <w:sz w:val="24"/>
          <w:szCs w:val="24"/>
        </w:rPr>
        <w:lastRenderedPageBreak/>
        <w:t xml:space="preserve">two major challenges that arise from this; namely, the illnesses are left to accrue to severity before they are treated, which leads to a high cost for both healthcare providers and patients. </w:t>
      </w:r>
      <w:r w:rsidRPr="009740AE">
        <w:rPr>
          <w:rFonts w:ascii="Times New Roman" w:hAnsi="Times New Roman" w:cs="Times New Roman"/>
          <w:sz w:val="24"/>
          <w:szCs w:val="24"/>
        </w:rPr>
        <w:t xml:space="preserve">Preventive care helps keep the costs incurred in health care low. </w:t>
      </w:r>
      <w:r w:rsidR="00E8312A" w:rsidRPr="009740AE">
        <w:rPr>
          <w:rFonts w:ascii="Times New Roman" w:hAnsi="Times New Roman" w:cs="Times New Roman"/>
          <w:sz w:val="24"/>
          <w:szCs w:val="24"/>
        </w:rPr>
        <w:t>This is because p</w:t>
      </w:r>
      <w:r w:rsidRPr="009740AE">
        <w:rPr>
          <w:rFonts w:ascii="Times New Roman" w:hAnsi="Times New Roman" w:cs="Times New Roman"/>
          <w:sz w:val="24"/>
          <w:szCs w:val="24"/>
        </w:rPr>
        <w:t>reventive care catches health problems before they happen or become acute, reducing the number of economic resources that would have been used to treat or reduce the effects of the acute illness</w:t>
      </w:r>
      <w:r w:rsidR="00F43FD3" w:rsidRPr="009740AE">
        <w:rPr>
          <w:rFonts w:ascii="Times New Roman" w:hAnsi="Times New Roman" w:cs="Times New Roman"/>
          <w:sz w:val="24"/>
          <w:szCs w:val="24"/>
        </w:rPr>
        <w:t xml:space="preserve"> (</w:t>
      </w:r>
      <w:r w:rsidR="009740AE" w:rsidRPr="009740AE">
        <w:rPr>
          <w:rFonts w:ascii="Times New Roman" w:hAnsi="Times New Roman" w:cs="Times New Roman"/>
          <w:sz w:val="24"/>
          <w:szCs w:val="24"/>
        </w:rPr>
        <w:t>Online Healthcare MBA, 2021)</w:t>
      </w:r>
      <w:r w:rsidRPr="009740AE">
        <w:rPr>
          <w:rFonts w:ascii="Times New Roman" w:hAnsi="Times New Roman" w:cs="Times New Roman"/>
          <w:sz w:val="24"/>
          <w:szCs w:val="24"/>
        </w:rPr>
        <w:t>.</w:t>
      </w:r>
      <w:r w:rsidR="00122C62" w:rsidRPr="009740AE">
        <w:rPr>
          <w:rFonts w:ascii="Times New Roman" w:hAnsi="Times New Roman" w:cs="Times New Roman"/>
          <w:sz w:val="24"/>
          <w:szCs w:val="24"/>
        </w:rPr>
        <w:t xml:space="preserve"> </w:t>
      </w:r>
      <w:bookmarkEnd w:id="1"/>
      <w:r w:rsidR="00B604E3">
        <w:rPr>
          <w:rFonts w:ascii="Times New Roman" w:hAnsi="Times New Roman" w:cs="Times New Roman"/>
          <w:sz w:val="24"/>
          <w:szCs w:val="24"/>
        </w:rPr>
        <w:t xml:space="preserve">When preventive care is made accessible or affordable, it makes it easy for citizens to get health care before they require acute hospital care (Shrank et al., 2021). </w:t>
      </w:r>
    </w:p>
    <w:p w14:paraId="67AF1592" w14:textId="23EE0AD0" w:rsidR="00F81B2C" w:rsidRDefault="00DE3E2B" w:rsidP="00B604E3">
      <w:pPr>
        <w:spacing w:line="480" w:lineRule="auto"/>
        <w:ind w:firstLine="720"/>
        <w:rPr>
          <w:rFonts w:ascii="Times New Roman" w:hAnsi="Times New Roman" w:cs="Times New Roman"/>
          <w:sz w:val="24"/>
          <w:szCs w:val="24"/>
        </w:rPr>
      </w:pPr>
      <w:r>
        <w:rPr>
          <w:rFonts w:ascii="Times New Roman" w:hAnsi="Times New Roman" w:cs="Times New Roman"/>
          <w:sz w:val="24"/>
          <w:szCs w:val="24"/>
        </w:rPr>
        <w:t>Pay for performance (Jamili et al., 2023): This approach mainly favors specialists who work in surgeries while showing minimal appreciation for the primary healthcare providers. Paying doctors for how they perform after a surgery or encounter with patients increases the financial burden on the health care system</w:t>
      </w:r>
      <w:r w:rsidR="00EE07AF">
        <w:rPr>
          <w:rFonts w:ascii="Times New Roman" w:hAnsi="Times New Roman" w:cs="Times New Roman"/>
          <w:sz w:val="24"/>
          <w:szCs w:val="24"/>
        </w:rPr>
        <w:t xml:space="preserve"> while undervaluing workers who work hard to prevent the spread of diseases (Jamili et al., 2023). </w:t>
      </w:r>
      <w:bookmarkStart w:id="2" w:name="_Hlk151564203"/>
      <w:r w:rsidR="00EE07AF" w:rsidRPr="009740AE">
        <w:rPr>
          <w:rFonts w:ascii="Times New Roman" w:hAnsi="Times New Roman" w:cs="Times New Roman"/>
          <w:sz w:val="24"/>
          <w:szCs w:val="24"/>
        </w:rPr>
        <w:t>Using a scenario such as COVID-19, it would have been cost-effective to spend more funds preventing the spread of the contagious disease rather than treating the people who were already infected.</w:t>
      </w:r>
      <w:r w:rsidR="0074343B">
        <w:rPr>
          <w:rFonts w:ascii="Times New Roman" w:hAnsi="Times New Roman" w:cs="Times New Roman"/>
          <w:sz w:val="24"/>
          <w:szCs w:val="24"/>
        </w:rPr>
        <w:t xml:space="preserve"> </w:t>
      </w:r>
      <w:bookmarkEnd w:id="2"/>
      <w:r w:rsidR="0074343B">
        <w:rPr>
          <w:rFonts w:ascii="Times New Roman" w:hAnsi="Times New Roman" w:cs="Times New Roman"/>
          <w:sz w:val="24"/>
          <w:szCs w:val="24"/>
        </w:rPr>
        <w:t xml:space="preserve">Shifting to preventive measures is cheaper than allocating more economic resources to acute hospital care. </w:t>
      </w:r>
    </w:p>
    <w:p w14:paraId="42DB7A86" w14:textId="77777777" w:rsidR="0074343B" w:rsidRDefault="00000000" w:rsidP="007D5FF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Quality of health care should not be related to the amount of money the patients can pay but rather should be the </w:t>
      </w:r>
      <w:r w:rsidR="006456EB">
        <w:rPr>
          <w:rFonts w:ascii="Times New Roman" w:hAnsi="Times New Roman" w:cs="Times New Roman"/>
          <w:sz w:val="24"/>
          <w:szCs w:val="24"/>
        </w:rPr>
        <w:t>backbone</w:t>
      </w:r>
      <w:r>
        <w:rPr>
          <w:rFonts w:ascii="Times New Roman" w:hAnsi="Times New Roman" w:cs="Times New Roman"/>
          <w:sz w:val="24"/>
          <w:szCs w:val="24"/>
        </w:rPr>
        <w:t xml:space="preserve"> of every healthcare facility</w:t>
      </w:r>
      <w:r w:rsidR="009E5E6B">
        <w:rPr>
          <w:rFonts w:ascii="Times New Roman" w:hAnsi="Times New Roman" w:cs="Times New Roman"/>
          <w:sz w:val="24"/>
          <w:szCs w:val="24"/>
        </w:rPr>
        <w:t xml:space="preserve"> (Kruk et al., 2018)</w:t>
      </w:r>
      <w:r>
        <w:rPr>
          <w:rFonts w:ascii="Times New Roman" w:hAnsi="Times New Roman" w:cs="Times New Roman"/>
          <w:sz w:val="24"/>
          <w:szCs w:val="24"/>
        </w:rPr>
        <w:t xml:space="preserve">. </w:t>
      </w:r>
      <w:r w:rsidR="009E5E6B">
        <w:rPr>
          <w:rFonts w:ascii="Times New Roman" w:hAnsi="Times New Roman" w:cs="Times New Roman"/>
          <w:sz w:val="24"/>
          <w:szCs w:val="24"/>
        </w:rPr>
        <w:t>According to Margaret Kruk and other writer</w:t>
      </w:r>
      <w:r w:rsidR="00EE07AF">
        <w:rPr>
          <w:rFonts w:ascii="Times New Roman" w:hAnsi="Times New Roman" w:cs="Times New Roman"/>
          <w:sz w:val="24"/>
          <w:szCs w:val="24"/>
        </w:rPr>
        <w:t>s’</w:t>
      </w:r>
      <w:r w:rsidR="009E5E6B">
        <w:rPr>
          <w:rFonts w:ascii="Times New Roman" w:hAnsi="Times New Roman" w:cs="Times New Roman"/>
          <w:sz w:val="24"/>
          <w:szCs w:val="24"/>
        </w:rPr>
        <w:t xml:space="preserve"> article in 2018, healthcare quality has often been a purview of the rich in society, making the right to health meaningless since there cannot be good healthcare if the health systems do not embrace fairness and accessibility for all. The systems in place should ensure that health care is redefined to promote fairness and accessibility regardless of the societal classes the patients hold. </w:t>
      </w:r>
      <w:r w:rsidR="00BB0A67">
        <w:rPr>
          <w:rFonts w:ascii="Times New Roman" w:hAnsi="Times New Roman" w:cs="Times New Roman"/>
          <w:sz w:val="24"/>
          <w:szCs w:val="24"/>
        </w:rPr>
        <w:t xml:space="preserve">By shifting focus to preventive healthcare measures and ensuring they are accessed equally by all people, it creates higher chances of a better healthcare </w:t>
      </w:r>
      <w:r w:rsidR="00BB0A67">
        <w:rPr>
          <w:rFonts w:ascii="Times New Roman" w:hAnsi="Times New Roman" w:cs="Times New Roman"/>
          <w:sz w:val="24"/>
          <w:szCs w:val="24"/>
        </w:rPr>
        <w:lastRenderedPageBreak/>
        <w:t>system.</w:t>
      </w:r>
      <w:r w:rsidR="00F10954">
        <w:rPr>
          <w:rFonts w:ascii="Times New Roman" w:hAnsi="Times New Roman" w:cs="Times New Roman"/>
          <w:sz w:val="24"/>
          <w:szCs w:val="24"/>
        </w:rPr>
        <w:t xml:space="preserve"> Moreover, health equity should be a vital topic of discussion since it has been highly experienced during the COVID-19 pandemic, where patients were discriminated against due to their economic status, race, or ethnicity (Shrank et al., 2021). </w:t>
      </w:r>
    </w:p>
    <w:p w14:paraId="78F84383" w14:textId="77777777" w:rsidR="006444B0" w:rsidRDefault="00000000" w:rsidP="00912279">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Prevention will always be better than cure since it creates better conditions for people to have good health and, in turn, increases life expectancy. Hence, investing more in prevention is feasible for the healthcare system (Department of Health and Social Care, 2018). </w:t>
      </w:r>
      <w:r w:rsidR="004B46DC">
        <w:rPr>
          <w:rFonts w:ascii="Times New Roman" w:hAnsi="Times New Roman" w:cs="Times New Roman"/>
          <w:sz w:val="24"/>
          <w:szCs w:val="24"/>
        </w:rPr>
        <w:t xml:space="preserve">Technology and telemedicine are effective methods to ensure that the prevention of diseases approach is feasible. Technology provides a fast, low-cost, </w:t>
      </w:r>
      <w:r w:rsidR="00F94473">
        <w:rPr>
          <w:rFonts w:ascii="Times New Roman" w:hAnsi="Times New Roman" w:cs="Times New Roman"/>
          <w:sz w:val="24"/>
          <w:szCs w:val="24"/>
        </w:rPr>
        <w:t xml:space="preserve">virtual pathway for patients and health practitioners to communicate and offer services. Telemedicine would have worked best considering crises such as COVID-19, where health centers created the highest viral exposures. Telemedicine reduces patients' risks from contagious diseases and reduces the daily workload that health workers have to handle. </w:t>
      </w:r>
      <w:r w:rsidR="00904BA6">
        <w:rPr>
          <w:rFonts w:ascii="Times New Roman" w:hAnsi="Times New Roman" w:cs="Times New Roman"/>
          <w:sz w:val="24"/>
          <w:szCs w:val="24"/>
        </w:rPr>
        <w:t>According to research done by Shokri Faziollah, 2023, the COVID-19 encounter clearly indicates that healthcare facilities should adopt proper methods to prevent and treat</w:t>
      </w:r>
      <w:r w:rsidR="00814187">
        <w:rPr>
          <w:rFonts w:ascii="Times New Roman" w:hAnsi="Times New Roman" w:cs="Times New Roman"/>
          <w:sz w:val="24"/>
          <w:szCs w:val="24"/>
        </w:rPr>
        <w:t xml:space="preserve"> illnesses. Systems were developed that allow consumers access to global healthcare </w:t>
      </w:r>
      <w:r w:rsidR="000D7D26">
        <w:rPr>
          <w:rFonts w:ascii="Times New Roman" w:hAnsi="Times New Roman" w:cs="Times New Roman"/>
          <w:sz w:val="24"/>
          <w:szCs w:val="24"/>
        </w:rPr>
        <w:t>information through the Internet, showing that telemedicine can be applied in curbing illnesses before they get acute</w:t>
      </w:r>
      <w:r w:rsidR="006456EB">
        <w:rPr>
          <w:rFonts w:ascii="Times New Roman" w:hAnsi="Times New Roman" w:cs="Times New Roman"/>
          <w:sz w:val="24"/>
          <w:szCs w:val="24"/>
        </w:rPr>
        <w:t xml:space="preserve"> </w:t>
      </w:r>
      <w:r w:rsidR="000D7D26">
        <w:rPr>
          <w:rFonts w:ascii="Times New Roman" w:hAnsi="Times New Roman" w:cs="Times New Roman"/>
          <w:sz w:val="24"/>
          <w:szCs w:val="24"/>
        </w:rPr>
        <w:t>(Shokri et al., 2023). The primary purpose of using telemedicine</w:t>
      </w:r>
      <w:r w:rsidR="00E15834">
        <w:rPr>
          <w:rFonts w:ascii="Times New Roman" w:hAnsi="Times New Roman" w:cs="Times New Roman"/>
          <w:sz w:val="24"/>
          <w:szCs w:val="24"/>
        </w:rPr>
        <w:t xml:space="preserve"> and technology</w:t>
      </w:r>
      <w:r w:rsidR="000D7D26">
        <w:rPr>
          <w:rFonts w:ascii="Times New Roman" w:hAnsi="Times New Roman" w:cs="Times New Roman"/>
          <w:sz w:val="24"/>
          <w:szCs w:val="24"/>
        </w:rPr>
        <w:t xml:space="preserve"> is to ensure that </w:t>
      </w:r>
      <w:r w:rsidR="00E15834">
        <w:rPr>
          <w:rFonts w:ascii="Times New Roman" w:hAnsi="Times New Roman" w:cs="Times New Roman"/>
          <w:sz w:val="24"/>
          <w:szCs w:val="24"/>
        </w:rPr>
        <w:t>disease management and prevention are feasible.</w:t>
      </w:r>
    </w:p>
    <w:p w14:paraId="6742FAD0" w14:textId="77777777" w:rsidR="00F0513D" w:rsidRDefault="00000000" w:rsidP="00814187">
      <w:pPr>
        <w:spacing w:line="480" w:lineRule="auto"/>
        <w:ind w:firstLine="720"/>
        <w:rPr>
          <w:rFonts w:ascii="Times New Roman" w:hAnsi="Times New Roman" w:cs="Times New Roman"/>
          <w:sz w:val="24"/>
          <w:szCs w:val="24"/>
        </w:rPr>
      </w:pPr>
      <w:r>
        <w:rPr>
          <w:rFonts w:ascii="Times New Roman" w:hAnsi="Times New Roman" w:cs="Times New Roman"/>
          <w:sz w:val="24"/>
          <w:szCs w:val="24"/>
        </w:rPr>
        <w:t>Personal and societal responsibilities play a massive role in the prevention of illnesses all over the world. Moving onto a preventive healthcare mindset requires people to have evolved mindsets and embrace taking care of themselves from a personal and societal level without having to depend on health practitioners</w:t>
      </w:r>
      <w:r w:rsidR="006456EB">
        <w:rPr>
          <w:rFonts w:ascii="Times New Roman" w:hAnsi="Times New Roman" w:cs="Times New Roman"/>
          <w:sz w:val="24"/>
          <w:szCs w:val="24"/>
        </w:rPr>
        <w:t xml:space="preserve"> (WHO, 2023)</w:t>
      </w:r>
      <w:r>
        <w:rPr>
          <w:rFonts w:ascii="Times New Roman" w:hAnsi="Times New Roman" w:cs="Times New Roman"/>
          <w:sz w:val="24"/>
          <w:szCs w:val="24"/>
        </w:rPr>
        <w:t xml:space="preserve">. </w:t>
      </w:r>
      <w:r w:rsidR="00C5075F">
        <w:rPr>
          <w:rFonts w:ascii="Times New Roman" w:hAnsi="Times New Roman" w:cs="Times New Roman"/>
          <w:sz w:val="24"/>
          <w:szCs w:val="24"/>
        </w:rPr>
        <w:t>Consumer</w:t>
      </w:r>
      <w:r w:rsidR="006456EB">
        <w:rPr>
          <w:rFonts w:ascii="Times New Roman" w:hAnsi="Times New Roman" w:cs="Times New Roman"/>
          <w:sz w:val="24"/>
          <w:szCs w:val="24"/>
        </w:rPr>
        <w:t>s</w:t>
      </w:r>
      <w:r w:rsidR="00C5075F">
        <w:rPr>
          <w:rFonts w:ascii="Times New Roman" w:hAnsi="Times New Roman" w:cs="Times New Roman"/>
          <w:sz w:val="24"/>
          <w:szCs w:val="24"/>
        </w:rPr>
        <w:t xml:space="preserve"> play a part in preventing diseases, referred to as primary prevention. It </w:t>
      </w:r>
      <w:r w:rsidR="006456EB">
        <w:rPr>
          <w:rFonts w:ascii="Times New Roman" w:hAnsi="Times New Roman" w:cs="Times New Roman"/>
          <w:sz w:val="24"/>
          <w:szCs w:val="24"/>
        </w:rPr>
        <w:t>is</w:t>
      </w:r>
      <w:r w:rsidR="00C5075F">
        <w:rPr>
          <w:rFonts w:ascii="Times New Roman" w:hAnsi="Times New Roman" w:cs="Times New Roman"/>
          <w:sz w:val="24"/>
          <w:szCs w:val="24"/>
        </w:rPr>
        <w:t xml:space="preserve"> achieved through various activities such as ensuring they take supplements and nutrients</w:t>
      </w:r>
      <w:r w:rsidR="001220B9">
        <w:rPr>
          <w:rFonts w:ascii="Times New Roman" w:hAnsi="Times New Roman" w:cs="Times New Roman"/>
          <w:sz w:val="24"/>
          <w:szCs w:val="24"/>
        </w:rPr>
        <w:t xml:space="preserve"> and</w:t>
      </w:r>
      <w:r w:rsidR="00C5075F">
        <w:rPr>
          <w:rFonts w:ascii="Times New Roman" w:hAnsi="Times New Roman" w:cs="Times New Roman"/>
          <w:sz w:val="24"/>
          <w:szCs w:val="24"/>
        </w:rPr>
        <w:t xml:space="preserve"> </w:t>
      </w:r>
      <w:r w:rsidR="001220B9">
        <w:rPr>
          <w:rFonts w:ascii="Times New Roman" w:hAnsi="Times New Roman" w:cs="Times New Roman"/>
          <w:sz w:val="24"/>
          <w:szCs w:val="24"/>
        </w:rPr>
        <w:t xml:space="preserve">parents or guardians ensuring their children are </w:t>
      </w:r>
      <w:r w:rsidR="001220B9">
        <w:rPr>
          <w:rFonts w:ascii="Times New Roman" w:hAnsi="Times New Roman" w:cs="Times New Roman"/>
          <w:sz w:val="24"/>
          <w:szCs w:val="24"/>
        </w:rPr>
        <w:lastRenderedPageBreak/>
        <w:t xml:space="preserve">vaccinated and immunized against illnesses. Communities should ensure that they hold community outreach programs and educational campaigns that pass crucial information to consumers. This helps create an environment that promotes healthy living and that is tailored towards promoting proactive and healthy behaviors in society (WHO, 2023). </w:t>
      </w:r>
    </w:p>
    <w:p w14:paraId="0F9CF214" w14:textId="77777777" w:rsidR="001220B9" w:rsidRDefault="00000000" w:rsidP="0081418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as much as more focus is driven on the prevention and management of chronic illnesses</w:t>
      </w:r>
      <w:r w:rsidR="00B33A61">
        <w:rPr>
          <w:rFonts w:ascii="Times New Roman" w:hAnsi="Times New Roman" w:cs="Times New Roman"/>
          <w:sz w:val="24"/>
          <w:szCs w:val="24"/>
        </w:rPr>
        <w:t>, acute hospital care should be supervised. When the above measures are incorporated to prevent the spread of diseases, the load on acute hospitals is reduced, meaning that the hospitals can focus on treating the already present patients and help prevent the spread of diseases</w:t>
      </w:r>
      <w:r w:rsidR="00906BB6">
        <w:rPr>
          <w:rFonts w:ascii="Times New Roman" w:hAnsi="Times New Roman" w:cs="Times New Roman"/>
          <w:sz w:val="24"/>
          <w:szCs w:val="24"/>
        </w:rPr>
        <w:t xml:space="preserve">. </w:t>
      </w:r>
      <w:r w:rsidR="00BE187D">
        <w:rPr>
          <w:rFonts w:ascii="Times New Roman" w:hAnsi="Times New Roman" w:cs="Times New Roman"/>
          <w:sz w:val="24"/>
          <w:szCs w:val="24"/>
        </w:rPr>
        <w:t xml:space="preserve">This is evidence that acute hospital care is impacted positively when disease prevention and management are implemented. </w:t>
      </w:r>
      <w:r w:rsidR="00334431">
        <w:rPr>
          <w:rFonts w:ascii="Times New Roman" w:hAnsi="Times New Roman" w:cs="Times New Roman"/>
          <w:sz w:val="24"/>
          <w:szCs w:val="24"/>
        </w:rPr>
        <w:t>Patients with dementia</w:t>
      </w:r>
      <w:r w:rsidR="00906BB6">
        <w:rPr>
          <w:rFonts w:ascii="Times New Roman" w:hAnsi="Times New Roman" w:cs="Times New Roman"/>
          <w:sz w:val="24"/>
          <w:szCs w:val="24"/>
        </w:rPr>
        <w:t xml:space="preserve"> are the most common visitors to acute hospital care. However, there is no available cure for dementia, which promotes the need for prevention and management of the illness before it gets acute (Godard-sibilate et al., 2019). </w:t>
      </w:r>
      <w:r w:rsidR="00E15834">
        <w:rPr>
          <w:rFonts w:ascii="Times New Roman" w:hAnsi="Times New Roman" w:cs="Times New Roman"/>
          <w:sz w:val="24"/>
          <w:szCs w:val="24"/>
        </w:rPr>
        <w:t>Approximately 71% of all deaths are caused by chronic illnesses</w:t>
      </w:r>
      <w:r w:rsidR="008E7230">
        <w:rPr>
          <w:rFonts w:ascii="Times New Roman" w:hAnsi="Times New Roman" w:cs="Times New Roman"/>
          <w:sz w:val="24"/>
          <w:szCs w:val="24"/>
        </w:rPr>
        <w:t xml:space="preserve"> per annum</w:t>
      </w:r>
      <w:r w:rsidR="00E15834">
        <w:rPr>
          <w:rFonts w:ascii="Times New Roman" w:hAnsi="Times New Roman" w:cs="Times New Roman"/>
          <w:sz w:val="24"/>
          <w:szCs w:val="24"/>
        </w:rPr>
        <w:t xml:space="preserve"> (Dona et al., 2021). This means that when the focus is shifted to preventing the spread of chronic diseases, funds will be used to fund the treatment of chronic diseases. </w:t>
      </w:r>
    </w:p>
    <w:p w14:paraId="75C4F8D1" w14:textId="6B5CEA5D" w:rsidR="00EE76A9" w:rsidRPr="00493F6C" w:rsidRDefault="00000000" w:rsidP="00493F6C">
      <w:pPr>
        <w:spacing w:line="480" w:lineRule="auto"/>
        <w:ind w:firstLine="720"/>
        <w:rPr>
          <w:rFonts w:ascii="Times New Roman" w:hAnsi="Times New Roman" w:cs="Times New Roman"/>
          <w:sz w:val="24"/>
          <w:szCs w:val="24"/>
        </w:rPr>
      </w:pPr>
      <w:r>
        <w:rPr>
          <w:rFonts w:ascii="Times New Roman" w:hAnsi="Times New Roman" w:cs="Times New Roman"/>
          <w:sz w:val="24"/>
          <w:szCs w:val="24"/>
        </w:rPr>
        <w:t>Chronic diseases are a considerable burden for both the healthcare givers and the patients. Research in America showed that at least 60% of their citizens ha</w:t>
      </w:r>
      <w:r w:rsidR="00EE76A9">
        <w:rPr>
          <w:rFonts w:ascii="Times New Roman" w:hAnsi="Times New Roman" w:cs="Times New Roman"/>
          <w:sz w:val="24"/>
          <w:szCs w:val="24"/>
        </w:rPr>
        <w:t xml:space="preserve">d one chronic disease, while 42% had other diseases. Chronic diseases are the leading causes of death, long-term disability, and a leading cause of poor health. Research showed it was better to prevent the spread of a disease rather than provide treatment after patients were already sick. In addition to resources being strained from treating chronic illnesses, chronic illnesses cause many deaths, much suffering, and high costs. All these challenges promote the need to incorporate prevention and management of diseases rather than acute hospital care. There are several ways to intervene </w:t>
      </w:r>
      <w:r w:rsidR="00EE76A9">
        <w:rPr>
          <w:rFonts w:ascii="Times New Roman" w:hAnsi="Times New Roman" w:cs="Times New Roman"/>
          <w:sz w:val="24"/>
          <w:szCs w:val="24"/>
        </w:rPr>
        <w:lastRenderedPageBreak/>
        <w:t xml:space="preserve">before people get chronic diseases, such as early stages of treatment, primary prevention, and managing chronic illnesses to prevent further spread (Levine et al., 2019). When countries invest in lifestyle changes, </w:t>
      </w:r>
      <w:r w:rsidR="009D74D6">
        <w:rPr>
          <w:rFonts w:ascii="Times New Roman" w:hAnsi="Times New Roman" w:cs="Times New Roman"/>
          <w:sz w:val="24"/>
          <w:szCs w:val="24"/>
        </w:rPr>
        <w:t>community-based</w:t>
      </w:r>
      <w:r w:rsidR="00EE76A9">
        <w:rPr>
          <w:rFonts w:ascii="Times New Roman" w:hAnsi="Times New Roman" w:cs="Times New Roman"/>
          <w:sz w:val="24"/>
          <w:szCs w:val="24"/>
        </w:rPr>
        <w:t xml:space="preserve"> interventions, and vaccinations, there will be a massive reduction in preventable diseases, which means fewer resources are dedicated to treating the illnesses. The number of deaths from the illnesses will gradually reduce.</w:t>
      </w:r>
      <w:r w:rsidR="00493F6C">
        <w:rPr>
          <w:rFonts w:ascii="Times New Roman" w:hAnsi="Times New Roman" w:cs="Times New Roman"/>
          <w:sz w:val="24"/>
          <w:szCs w:val="24"/>
        </w:rPr>
        <w:t xml:space="preserve"> </w:t>
      </w:r>
      <w:r>
        <w:rPr>
          <w:rFonts w:ascii="Times New Roman" w:hAnsi="Times New Roman" w:cs="Times New Roman"/>
          <w:sz w:val="24"/>
          <w:szCs w:val="24"/>
        </w:rPr>
        <w:t>Preventing diseases instead of treating them after they have occurred helps people to live their best possible lives. Additionally, it minimizes any strain on funds allocated for health purposes and increases equity for patients who suffer from chronic illnesses</w:t>
      </w:r>
      <w:r w:rsidR="008E7230">
        <w:rPr>
          <w:rFonts w:ascii="Times New Roman" w:hAnsi="Times New Roman" w:cs="Times New Roman"/>
          <w:sz w:val="24"/>
          <w:szCs w:val="24"/>
        </w:rPr>
        <w:t xml:space="preserve"> (Department of Health and Social Care, 2018). </w:t>
      </w:r>
      <w:r>
        <w:rPr>
          <w:rFonts w:ascii="Times New Roman" w:hAnsi="Times New Roman" w:cs="Times New Roman"/>
          <w:sz w:val="24"/>
          <w:szCs w:val="24"/>
        </w:rPr>
        <w:t>In order to implement the prevention and management of diseases, it is paramount to ensure that society focuses on the individual</w:t>
      </w:r>
      <w:r w:rsidR="00043584">
        <w:rPr>
          <w:rFonts w:ascii="Times New Roman" w:hAnsi="Times New Roman" w:cs="Times New Roman"/>
          <w:sz w:val="24"/>
          <w:szCs w:val="24"/>
        </w:rPr>
        <w:t xml:space="preserve">'s health since it directly impacts the community's health. </w:t>
      </w:r>
    </w:p>
    <w:p w14:paraId="208A70CD" w14:textId="77777777" w:rsidR="004B5044" w:rsidRDefault="00000000" w:rsidP="004B5044">
      <w:pPr>
        <w:spacing w:line="480" w:lineRule="auto"/>
        <w:ind w:firstLine="720"/>
        <w:rPr>
          <w:rFonts w:ascii="Times New Roman" w:hAnsi="Times New Roman" w:cs="Times New Roman"/>
          <w:sz w:val="24"/>
          <w:szCs w:val="24"/>
        </w:rPr>
      </w:pPr>
      <w:r>
        <w:rPr>
          <w:rFonts w:ascii="Times New Roman" w:hAnsi="Times New Roman" w:cs="Times New Roman"/>
          <w:sz w:val="24"/>
          <w:szCs w:val="24"/>
        </w:rPr>
        <w:t>Economic implications from preventive health care strategies are focused on more than just the direct cost of health care itself. Disease events highly affect the continuation of businesses, travel, and trade bans, which lead to unemployment, an increased number of orphans, and the closure of markets. Considering the recent COVID-19 crisis, there were many unemployment rates since most of the firms had to be closed due to the incorporation of curfews; the high number of deaths led to a loss of the working population, which caused a massive recession in most economies. A healthier population is more fruitful since they are focused on their jobs instead of fighting illnesses (Smith et al., 2019). Additionally, governments benefit from a healthy population since there is a minimal need to focus resources on health care</w:t>
      </w:r>
      <w:r w:rsidR="005B754F">
        <w:rPr>
          <w:rFonts w:ascii="Times New Roman" w:hAnsi="Times New Roman" w:cs="Times New Roman"/>
          <w:sz w:val="24"/>
          <w:szCs w:val="24"/>
        </w:rPr>
        <w:t>, which impacts economic growth</w:t>
      </w:r>
      <w:r>
        <w:rPr>
          <w:rFonts w:ascii="Times New Roman" w:hAnsi="Times New Roman" w:cs="Times New Roman"/>
          <w:sz w:val="24"/>
          <w:szCs w:val="24"/>
        </w:rPr>
        <w:t xml:space="preserve">. </w:t>
      </w:r>
    </w:p>
    <w:p w14:paraId="7A161A26" w14:textId="77777777" w:rsidR="004B5044" w:rsidRDefault="00000000" w:rsidP="005B754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a nation to build a successful healthcare system, there is a need to fully collaborate with the stakeholders in the study cycles of the processes. </w:t>
      </w:r>
      <w:r w:rsidR="00742898">
        <w:rPr>
          <w:rFonts w:ascii="Times New Roman" w:hAnsi="Times New Roman" w:cs="Times New Roman"/>
          <w:sz w:val="24"/>
          <w:szCs w:val="24"/>
        </w:rPr>
        <w:t>Stakeholders are an essential asset when it comes to shifting from acute hospital care to preventing and managing illnesses</w:t>
      </w:r>
      <w:r w:rsidR="005B754F">
        <w:rPr>
          <w:rFonts w:ascii="Times New Roman" w:hAnsi="Times New Roman" w:cs="Times New Roman"/>
          <w:sz w:val="24"/>
          <w:szCs w:val="24"/>
        </w:rPr>
        <w:t xml:space="preserve">. </w:t>
      </w:r>
      <w:r w:rsidR="00742898">
        <w:rPr>
          <w:rFonts w:ascii="Times New Roman" w:hAnsi="Times New Roman" w:cs="Times New Roman"/>
          <w:sz w:val="24"/>
          <w:szCs w:val="24"/>
        </w:rPr>
        <w:t xml:space="preserve">They </w:t>
      </w:r>
      <w:r w:rsidR="00742898">
        <w:rPr>
          <w:rFonts w:ascii="Times New Roman" w:hAnsi="Times New Roman" w:cs="Times New Roman"/>
          <w:sz w:val="24"/>
          <w:szCs w:val="24"/>
        </w:rPr>
        <w:lastRenderedPageBreak/>
        <w:t>provide the overall economic oversight that, in turn, shows whether the idea to shift is feasible. The feedback received from the stakeholders will provide chances to improve the implementation of studies. As the system evolves, the interactions between stakeholders and the participants will provide the critical information that is required to better the innovations needed to better the health of a nation</w:t>
      </w:r>
      <w:r w:rsidR="005B754F">
        <w:rPr>
          <w:rFonts w:ascii="Times New Roman" w:hAnsi="Times New Roman" w:cs="Times New Roman"/>
          <w:sz w:val="24"/>
          <w:szCs w:val="24"/>
        </w:rPr>
        <w:t xml:space="preserve"> (Al-murani et al., 2019)</w:t>
      </w:r>
      <w:r w:rsidR="00742898">
        <w:rPr>
          <w:rFonts w:ascii="Times New Roman" w:hAnsi="Times New Roman" w:cs="Times New Roman"/>
          <w:sz w:val="24"/>
          <w:szCs w:val="24"/>
        </w:rPr>
        <w:t>. Engaging stakeholders should incorporate open communication and the addressing of concerns that are facing the health care system. Openness between participants and stakeholders allows for the best transitions and approaches to be put in place</w:t>
      </w:r>
      <w:r w:rsidR="008E7230">
        <w:rPr>
          <w:rFonts w:ascii="Times New Roman" w:hAnsi="Times New Roman" w:cs="Times New Roman"/>
          <w:sz w:val="24"/>
          <w:szCs w:val="24"/>
        </w:rPr>
        <w:t xml:space="preserve"> (</w:t>
      </w:r>
      <w:r w:rsidR="00D13606">
        <w:rPr>
          <w:rFonts w:ascii="Times New Roman" w:hAnsi="Times New Roman" w:cs="Times New Roman"/>
          <w:sz w:val="24"/>
          <w:szCs w:val="24"/>
        </w:rPr>
        <w:t>Al-murani</w:t>
      </w:r>
      <w:r w:rsidR="008E7230">
        <w:rPr>
          <w:rFonts w:ascii="Times New Roman" w:hAnsi="Times New Roman" w:cs="Times New Roman"/>
          <w:sz w:val="24"/>
          <w:szCs w:val="24"/>
        </w:rPr>
        <w:t xml:space="preserve"> et al., 2019)</w:t>
      </w:r>
      <w:r w:rsidR="00742898">
        <w:rPr>
          <w:rFonts w:ascii="Times New Roman" w:hAnsi="Times New Roman" w:cs="Times New Roman"/>
          <w:sz w:val="24"/>
          <w:szCs w:val="24"/>
        </w:rPr>
        <w:t xml:space="preserve">. </w:t>
      </w:r>
    </w:p>
    <w:p w14:paraId="3CF60E0E" w14:textId="77777777" w:rsidR="0042107E" w:rsidRDefault="00000000" w:rsidP="00182D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B91161">
        <w:rPr>
          <w:rFonts w:ascii="Times New Roman" w:hAnsi="Times New Roman" w:cs="Times New Roman"/>
          <w:sz w:val="24"/>
          <w:szCs w:val="24"/>
        </w:rPr>
        <w:t>changing the healthcare system to prioritize disease prevention, chronic illnesses, and population health is a strategic way to create a fair, cost-effective, and sustainable healthcare system. Many challenges exist in the assimilation of a pre</w:t>
      </w:r>
      <w:r w:rsidR="009D74D6">
        <w:rPr>
          <w:rFonts w:ascii="Times New Roman" w:hAnsi="Times New Roman" w:cs="Times New Roman"/>
          <w:sz w:val="24"/>
          <w:szCs w:val="24"/>
        </w:rPr>
        <w:t>ve</w:t>
      </w:r>
      <w:r w:rsidR="00B91161">
        <w:rPr>
          <w:rFonts w:ascii="Times New Roman" w:hAnsi="Times New Roman" w:cs="Times New Roman"/>
          <w:sz w:val="24"/>
          <w:szCs w:val="24"/>
        </w:rPr>
        <w:t>ntive healthcare system, but long-term benefits to society exist</w:t>
      </w:r>
      <w:r w:rsidR="00E12704">
        <w:rPr>
          <w:rFonts w:ascii="Times New Roman" w:hAnsi="Times New Roman" w:cs="Times New Roman"/>
          <w:sz w:val="24"/>
          <w:szCs w:val="24"/>
        </w:rPr>
        <w:t xml:space="preserve"> in terms of health and economic growth of the society. Societies can build resilient healthcare systems that can quickly meet the needs of future generations by nurturing and incorporating</w:t>
      </w:r>
      <w:r w:rsidR="005B754F">
        <w:rPr>
          <w:rFonts w:ascii="Times New Roman" w:hAnsi="Times New Roman" w:cs="Times New Roman"/>
          <w:sz w:val="24"/>
          <w:szCs w:val="24"/>
        </w:rPr>
        <w:t xml:space="preserve"> preventive</w:t>
      </w:r>
      <w:r w:rsidR="00E12704">
        <w:rPr>
          <w:rFonts w:ascii="Times New Roman" w:hAnsi="Times New Roman" w:cs="Times New Roman"/>
          <w:sz w:val="24"/>
          <w:szCs w:val="24"/>
        </w:rPr>
        <w:t xml:space="preserve"> healthcare strategies. This holistic approach requires innovative solutions and collaboration from all parties in society to make it a success.</w:t>
      </w:r>
    </w:p>
    <w:p w14:paraId="4685F871" w14:textId="77777777" w:rsidR="00182D20" w:rsidRDefault="00182D20" w:rsidP="00182D20">
      <w:pPr>
        <w:spacing w:line="480" w:lineRule="auto"/>
        <w:ind w:firstLine="720"/>
        <w:rPr>
          <w:rFonts w:ascii="Times New Roman" w:hAnsi="Times New Roman" w:cs="Times New Roman"/>
          <w:sz w:val="24"/>
          <w:szCs w:val="24"/>
        </w:rPr>
      </w:pPr>
    </w:p>
    <w:p w14:paraId="1C98DA39" w14:textId="77777777" w:rsidR="00182D20" w:rsidRDefault="00182D20" w:rsidP="00182D20">
      <w:pPr>
        <w:spacing w:line="480" w:lineRule="auto"/>
        <w:ind w:firstLine="720"/>
        <w:rPr>
          <w:rFonts w:ascii="Times New Roman" w:hAnsi="Times New Roman" w:cs="Times New Roman"/>
          <w:sz w:val="24"/>
          <w:szCs w:val="24"/>
        </w:rPr>
      </w:pPr>
    </w:p>
    <w:p w14:paraId="489C1A09" w14:textId="77777777" w:rsidR="00DA6CBA" w:rsidRDefault="00DA6CBA" w:rsidP="00493F6C">
      <w:pPr>
        <w:spacing w:line="480" w:lineRule="auto"/>
        <w:rPr>
          <w:rFonts w:ascii="Times New Roman" w:hAnsi="Times New Roman" w:cs="Times New Roman"/>
          <w:sz w:val="24"/>
          <w:szCs w:val="24"/>
        </w:rPr>
      </w:pPr>
    </w:p>
    <w:p w14:paraId="69B33C20" w14:textId="77777777" w:rsidR="00493F6C" w:rsidRDefault="00493F6C" w:rsidP="00493F6C">
      <w:pPr>
        <w:spacing w:line="480" w:lineRule="auto"/>
        <w:rPr>
          <w:rFonts w:ascii="Times New Roman" w:hAnsi="Times New Roman" w:cs="Times New Roman"/>
          <w:sz w:val="24"/>
          <w:szCs w:val="24"/>
        </w:rPr>
      </w:pPr>
    </w:p>
    <w:p w14:paraId="279FA376" w14:textId="77777777" w:rsidR="00182D20" w:rsidRDefault="00182D20" w:rsidP="00182D20">
      <w:pPr>
        <w:spacing w:line="480" w:lineRule="auto"/>
        <w:ind w:firstLine="720"/>
        <w:rPr>
          <w:rFonts w:ascii="Times New Roman" w:hAnsi="Times New Roman" w:cs="Times New Roman"/>
          <w:sz w:val="24"/>
          <w:szCs w:val="24"/>
        </w:rPr>
      </w:pPr>
    </w:p>
    <w:p w14:paraId="324EB7B1" w14:textId="77777777" w:rsidR="00E12704" w:rsidRDefault="00000000" w:rsidP="00E12704">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10E9C244" w14:textId="77777777" w:rsidR="00D13606" w:rsidRDefault="00000000" w:rsidP="00D13606">
      <w:pPr>
        <w:spacing w:line="480" w:lineRule="auto"/>
        <w:ind w:left="720" w:hanging="720"/>
        <w:rPr>
          <w:rFonts w:ascii="Times New Roman" w:hAnsi="Times New Roman" w:cs="Times New Roman"/>
          <w:color w:val="212121"/>
          <w:sz w:val="24"/>
          <w:szCs w:val="24"/>
          <w:shd w:val="clear" w:color="auto" w:fill="FFFFFF"/>
        </w:rPr>
      </w:pPr>
      <w:r w:rsidRPr="00D13606">
        <w:rPr>
          <w:rFonts w:ascii="Times New Roman" w:hAnsi="Times New Roman" w:cs="Times New Roman"/>
          <w:color w:val="212121"/>
          <w:sz w:val="24"/>
          <w:szCs w:val="24"/>
          <w:shd w:val="clear" w:color="auto" w:fill="FFFFFF"/>
        </w:rPr>
        <w:t>Al-Murani, F., Aweko, J., Nordin, I., Delobelle, P., et al. (2019). Community and stakeholders' engagement in the prevention and management of Type 2 diabetes: a qualitative study in socioeconomically disadvantaged suburbs in region Stockholm. </w:t>
      </w:r>
      <w:r w:rsidRPr="00D13606">
        <w:rPr>
          <w:rFonts w:ascii="Times New Roman" w:hAnsi="Times New Roman" w:cs="Times New Roman"/>
          <w:i/>
          <w:iCs/>
          <w:color w:val="212121"/>
          <w:sz w:val="24"/>
          <w:szCs w:val="24"/>
          <w:shd w:val="clear" w:color="auto" w:fill="FFFFFF"/>
        </w:rPr>
        <w:t>Global health action</w:t>
      </w:r>
      <w:r w:rsidRPr="00D13606">
        <w:rPr>
          <w:rFonts w:ascii="Times New Roman" w:hAnsi="Times New Roman" w:cs="Times New Roman"/>
          <w:color w:val="212121"/>
          <w:sz w:val="24"/>
          <w:szCs w:val="24"/>
          <w:shd w:val="clear" w:color="auto" w:fill="FFFFFF"/>
        </w:rPr>
        <w:t>, </w:t>
      </w:r>
      <w:r w:rsidRPr="00D13606">
        <w:rPr>
          <w:rFonts w:ascii="Times New Roman" w:hAnsi="Times New Roman" w:cs="Times New Roman"/>
          <w:i/>
          <w:iCs/>
          <w:color w:val="212121"/>
          <w:sz w:val="24"/>
          <w:szCs w:val="24"/>
          <w:shd w:val="clear" w:color="auto" w:fill="FFFFFF"/>
        </w:rPr>
        <w:t>12</w:t>
      </w:r>
      <w:r w:rsidR="007D613A">
        <w:rPr>
          <w:rFonts w:ascii="Times New Roman" w:hAnsi="Times New Roman" w:cs="Times New Roman"/>
          <w:i/>
          <w:iCs/>
          <w:color w:val="212121"/>
          <w:sz w:val="24"/>
          <w:szCs w:val="24"/>
          <w:shd w:val="clear" w:color="auto" w:fill="FFFFFF"/>
        </w:rPr>
        <w:t xml:space="preserve"> </w:t>
      </w:r>
      <w:r w:rsidRPr="00D13606">
        <w:rPr>
          <w:rFonts w:ascii="Times New Roman" w:hAnsi="Times New Roman" w:cs="Times New Roman"/>
          <w:color w:val="212121"/>
          <w:sz w:val="24"/>
          <w:szCs w:val="24"/>
          <w:shd w:val="clear" w:color="auto" w:fill="FFFFFF"/>
        </w:rPr>
        <w:t xml:space="preserve">(1), 1609313. </w:t>
      </w:r>
      <w:hyperlink r:id="rId7" w:history="1">
        <w:r w:rsidRPr="00D13606">
          <w:rPr>
            <w:rStyle w:val="Hyperlink"/>
            <w:rFonts w:ascii="Times New Roman" w:hAnsi="Times New Roman" w:cs="Times New Roman"/>
            <w:sz w:val="24"/>
            <w:szCs w:val="24"/>
            <w:shd w:val="clear" w:color="auto" w:fill="FFFFFF"/>
          </w:rPr>
          <w:t>https://doi.org/10.1080/16549716.2019.1609313</w:t>
        </w:r>
      </w:hyperlink>
      <w:r w:rsidRPr="00D13606">
        <w:rPr>
          <w:rFonts w:ascii="Times New Roman" w:hAnsi="Times New Roman" w:cs="Times New Roman"/>
          <w:color w:val="212121"/>
          <w:sz w:val="24"/>
          <w:szCs w:val="24"/>
          <w:shd w:val="clear" w:color="auto" w:fill="FFFFFF"/>
        </w:rPr>
        <w:t xml:space="preserve">. </w:t>
      </w:r>
    </w:p>
    <w:p w14:paraId="72CE70AF" w14:textId="77777777" w:rsidR="008E7230" w:rsidRPr="008E7230" w:rsidRDefault="00000000" w:rsidP="009D74D6">
      <w:pPr>
        <w:spacing w:line="480" w:lineRule="auto"/>
        <w:ind w:left="720" w:hanging="720"/>
        <w:rPr>
          <w:rFonts w:ascii="Times New Roman" w:hAnsi="Times New Roman" w:cs="Times New Roman"/>
          <w:color w:val="212121"/>
          <w:sz w:val="24"/>
          <w:szCs w:val="24"/>
          <w:shd w:val="clear" w:color="auto" w:fill="FFFFFF"/>
        </w:rPr>
      </w:pPr>
      <w:r w:rsidRPr="008E7230">
        <w:rPr>
          <w:rFonts w:ascii="Times New Roman" w:hAnsi="Times New Roman" w:cs="Times New Roman"/>
          <w:color w:val="333333"/>
          <w:sz w:val="24"/>
          <w:szCs w:val="24"/>
          <w:shd w:val="clear" w:color="auto" w:fill="FFFFFF"/>
        </w:rPr>
        <w:t>Dona, S., W., A. Angeles, M.R., Hall, N. </w:t>
      </w:r>
      <w:r w:rsidRPr="008E7230">
        <w:rPr>
          <w:rFonts w:ascii="Times New Roman" w:hAnsi="Times New Roman" w:cs="Times New Roman"/>
          <w:i/>
          <w:iCs/>
          <w:color w:val="333333"/>
          <w:sz w:val="24"/>
          <w:szCs w:val="24"/>
          <w:shd w:val="clear" w:color="auto" w:fill="FFFFFF"/>
        </w:rPr>
        <w:t>et al.</w:t>
      </w:r>
      <w:r w:rsidRPr="008E7230">
        <w:rPr>
          <w:rFonts w:ascii="Times New Roman" w:hAnsi="Times New Roman" w:cs="Times New Roman"/>
          <w:color w:val="333333"/>
          <w:sz w:val="24"/>
          <w:szCs w:val="24"/>
          <w:shd w:val="clear" w:color="auto" w:fill="FFFFFF"/>
        </w:rPr>
        <w:t> (2021). Impacts of chronic disease prevention programs implemented by private health insurers: a systematic review. </w:t>
      </w:r>
      <w:r w:rsidRPr="008E7230">
        <w:rPr>
          <w:rFonts w:ascii="Times New Roman" w:hAnsi="Times New Roman" w:cs="Times New Roman"/>
          <w:i/>
          <w:iCs/>
          <w:color w:val="333333"/>
          <w:sz w:val="24"/>
          <w:szCs w:val="24"/>
          <w:shd w:val="clear" w:color="auto" w:fill="FFFFFF"/>
        </w:rPr>
        <w:t>BMC Health Serv Res</w:t>
      </w:r>
      <w:r w:rsidRPr="008E7230">
        <w:rPr>
          <w:rFonts w:ascii="Times New Roman" w:hAnsi="Times New Roman" w:cs="Times New Roman"/>
          <w:color w:val="333333"/>
          <w:sz w:val="24"/>
          <w:szCs w:val="24"/>
          <w:shd w:val="clear" w:color="auto" w:fill="FFFFFF"/>
        </w:rPr>
        <w:t> </w:t>
      </w:r>
      <w:r w:rsidRPr="008E7230">
        <w:rPr>
          <w:rFonts w:ascii="Times New Roman" w:hAnsi="Times New Roman" w:cs="Times New Roman"/>
          <w:b/>
          <w:bCs/>
          <w:color w:val="333333"/>
          <w:sz w:val="24"/>
          <w:szCs w:val="24"/>
          <w:shd w:val="clear" w:color="auto" w:fill="FFFFFF"/>
        </w:rPr>
        <w:t>21</w:t>
      </w:r>
      <w:r w:rsidRPr="008E7230">
        <w:rPr>
          <w:rFonts w:ascii="Times New Roman" w:hAnsi="Times New Roman" w:cs="Times New Roman"/>
          <w:color w:val="333333"/>
          <w:sz w:val="24"/>
          <w:szCs w:val="24"/>
          <w:shd w:val="clear" w:color="auto" w:fill="FFFFFF"/>
        </w:rPr>
        <w:t xml:space="preserve">, 1222 (2021). </w:t>
      </w:r>
      <w:hyperlink r:id="rId8" w:history="1">
        <w:r w:rsidRPr="00F00527">
          <w:rPr>
            <w:rStyle w:val="Hyperlink"/>
            <w:rFonts w:ascii="Times New Roman" w:hAnsi="Times New Roman" w:cs="Times New Roman"/>
            <w:sz w:val="24"/>
            <w:szCs w:val="24"/>
            <w:shd w:val="clear" w:color="auto" w:fill="FFFFFF"/>
          </w:rPr>
          <w:t>https://doi.org/10.1186/s12913-021-07212-7</w:t>
        </w:r>
      </w:hyperlink>
      <w:r>
        <w:rPr>
          <w:rFonts w:ascii="Times New Roman" w:hAnsi="Times New Roman" w:cs="Times New Roman"/>
          <w:color w:val="333333"/>
          <w:sz w:val="24"/>
          <w:szCs w:val="24"/>
          <w:shd w:val="clear" w:color="auto" w:fill="FFFFFF"/>
        </w:rPr>
        <w:t xml:space="preserve">. </w:t>
      </w:r>
    </w:p>
    <w:p w14:paraId="74C5DC70" w14:textId="77777777" w:rsidR="00912279" w:rsidRPr="00963EED" w:rsidRDefault="00000000" w:rsidP="009D74D6">
      <w:pPr>
        <w:spacing w:line="480" w:lineRule="auto"/>
        <w:ind w:left="720" w:hanging="720"/>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Department of health and social care. (2020). </w:t>
      </w:r>
      <w:r w:rsidRPr="00912279">
        <w:rPr>
          <w:rFonts w:ascii="Times New Roman" w:hAnsi="Times New Roman" w:cs="Times New Roman"/>
          <w:i/>
          <w:iCs/>
          <w:sz w:val="24"/>
          <w:szCs w:val="24"/>
        </w:rPr>
        <w:t>Prevention is better than cure</w:t>
      </w:r>
      <w:r>
        <w:rPr>
          <w:rFonts w:ascii="Times New Roman" w:hAnsi="Times New Roman" w:cs="Times New Roman"/>
          <w:sz w:val="24"/>
          <w:szCs w:val="24"/>
        </w:rPr>
        <w:t xml:space="preserve">. Department of health and social care. </w:t>
      </w:r>
      <w:hyperlink r:id="rId9" w:history="1">
        <w:r w:rsidRPr="00F00527">
          <w:rPr>
            <w:rStyle w:val="Hyperlink"/>
            <w:rFonts w:ascii="Times New Roman" w:hAnsi="Times New Roman" w:cs="Times New Roman"/>
            <w:sz w:val="24"/>
            <w:szCs w:val="24"/>
          </w:rPr>
          <w:t>https://assets.publishing.service.gov.uk/media/5be00437e5274a6e174bdac1/Prevention_is_better_than_cure_5-11.pdf</w:t>
        </w:r>
      </w:hyperlink>
      <w:r>
        <w:rPr>
          <w:rFonts w:ascii="Times New Roman" w:hAnsi="Times New Roman" w:cs="Times New Roman"/>
          <w:sz w:val="24"/>
          <w:szCs w:val="24"/>
        </w:rPr>
        <w:t xml:space="preserve">. </w:t>
      </w:r>
    </w:p>
    <w:p w14:paraId="65A6A00F" w14:textId="77777777" w:rsidR="009D74D6" w:rsidRPr="009D74D6" w:rsidRDefault="00000000" w:rsidP="009D74D6">
      <w:pPr>
        <w:spacing w:line="480" w:lineRule="auto"/>
        <w:ind w:left="720" w:hanging="720"/>
        <w:rPr>
          <w:rFonts w:ascii="Times New Roman" w:hAnsi="Times New Roman" w:cs="Times New Roman"/>
          <w:color w:val="333333"/>
          <w:sz w:val="24"/>
          <w:szCs w:val="24"/>
          <w:u w:val="single"/>
          <w:shd w:val="clear" w:color="auto" w:fill="FFFFFF"/>
        </w:rPr>
      </w:pPr>
      <w:r w:rsidRPr="009D74D6">
        <w:rPr>
          <w:rFonts w:ascii="Times New Roman" w:hAnsi="Times New Roman" w:cs="Times New Roman"/>
          <w:color w:val="212121"/>
          <w:sz w:val="24"/>
          <w:szCs w:val="24"/>
          <w:shd w:val="clear" w:color="auto" w:fill="FFFFFF"/>
        </w:rPr>
        <w:t>Godard-Sebillotte, C., Le Berre, M., Schuster, T., Trottier, M., &amp; Vedel, I. (2019). Impact of health service interventions on acute hospital use in community-dwelling persons with dementia: A systematic literature review and meta-analysis. </w:t>
      </w:r>
      <w:r w:rsidRPr="009D74D6">
        <w:rPr>
          <w:rFonts w:ascii="Times New Roman" w:hAnsi="Times New Roman" w:cs="Times New Roman"/>
          <w:i/>
          <w:iCs/>
          <w:color w:val="212121"/>
          <w:sz w:val="24"/>
          <w:szCs w:val="24"/>
          <w:shd w:val="clear" w:color="auto" w:fill="FFFFFF"/>
        </w:rPr>
        <w:t>PloS one</w:t>
      </w:r>
      <w:r w:rsidRPr="009D74D6">
        <w:rPr>
          <w:rFonts w:ascii="Times New Roman" w:hAnsi="Times New Roman" w:cs="Times New Roman"/>
          <w:color w:val="212121"/>
          <w:sz w:val="24"/>
          <w:szCs w:val="24"/>
          <w:shd w:val="clear" w:color="auto" w:fill="FFFFFF"/>
        </w:rPr>
        <w:t>, </w:t>
      </w:r>
      <w:r w:rsidRPr="009D74D6">
        <w:rPr>
          <w:rFonts w:ascii="Times New Roman" w:hAnsi="Times New Roman" w:cs="Times New Roman"/>
          <w:i/>
          <w:iCs/>
          <w:color w:val="212121"/>
          <w:sz w:val="24"/>
          <w:szCs w:val="24"/>
          <w:shd w:val="clear" w:color="auto" w:fill="FFFFFF"/>
        </w:rPr>
        <w:t>14</w:t>
      </w:r>
      <w:r w:rsidRPr="009D74D6">
        <w:rPr>
          <w:rFonts w:ascii="Times New Roman" w:hAnsi="Times New Roman" w:cs="Times New Roman"/>
          <w:color w:val="212121"/>
          <w:sz w:val="24"/>
          <w:szCs w:val="24"/>
          <w:shd w:val="clear" w:color="auto" w:fill="FFFFFF"/>
        </w:rPr>
        <w:t xml:space="preserve">(6), e0218426. </w:t>
      </w:r>
      <w:hyperlink r:id="rId10" w:history="1">
        <w:r w:rsidRPr="009D74D6">
          <w:rPr>
            <w:rStyle w:val="Hyperlink"/>
            <w:rFonts w:ascii="Times New Roman" w:hAnsi="Times New Roman" w:cs="Times New Roman"/>
            <w:sz w:val="24"/>
            <w:szCs w:val="24"/>
            <w:shd w:val="clear" w:color="auto" w:fill="FFFFFF"/>
          </w:rPr>
          <w:t>https://doi.org/10.1371/journal.pone.0218426</w:t>
        </w:r>
      </w:hyperlink>
      <w:r w:rsidRPr="009D74D6">
        <w:rPr>
          <w:rFonts w:ascii="Times New Roman" w:hAnsi="Times New Roman" w:cs="Times New Roman"/>
          <w:color w:val="212121"/>
          <w:sz w:val="24"/>
          <w:szCs w:val="24"/>
          <w:shd w:val="clear" w:color="auto" w:fill="FFFFFF"/>
        </w:rPr>
        <w:t xml:space="preserve">. </w:t>
      </w:r>
    </w:p>
    <w:p w14:paraId="44574487" w14:textId="77777777" w:rsidR="00E8312A" w:rsidRPr="00E8312A" w:rsidRDefault="00000000" w:rsidP="00E12704">
      <w:pPr>
        <w:spacing w:line="480" w:lineRule="auto"/>
        <w:ind w:left="720" w:hanging="720"/>
        <w:rPr>
          <w:rFonts w:ascii="Times New Roman" w:hAnsi="Times New Roman" w:cs="Times New Roman"/>
          <w:sz w:val="24"/>
          <w:szCs w:val="24"/>
        </w:rPr>
      </w:pPr>
      <w:bookmarkStart w:id="3" w:name="_Hlk151562572"/>
      <w:r>
        <w:rPr>
          <w:rFonts w:ascii="Times New Roman" w:hAnsi="Times New Roman" w:cs="Times New Roman"/>
          <w:sz w:val="24"/>
          <w:szCs w:val="24"/>
        </w:rPr>
        <w:t xml:space="preserve">HealthCare. (2023). </w:t>
      </w:r>
      <w:r>
        <w:rPr>
          <w:rFonts w:ascii="Times New Roman" w:hAnsi="Times New Roman" w:cs="Times New Roman"/>
          <w:i/>
          <w:iCs/>
          <w:sz w:val="24"/>
          <w:szCs w:val="24"/>
        </w:rPr>
        <w:t xml:space="preserve">Preventive Services. </w:t>
      </w:r>
      <w:r>
        <w:rPr>
          <w:rFonts w:ascii="Times New Roman" w:hAnsi="Times New Roman" w:cs="Times New Roman"/>
          <w:sz w:val="24"/>
          <w:szCs w:val="24"/>
        </w:rPr>
        <w:t xml:space="preserve">Healthcare. </w:t>
      </w:r>
      <w:hyperlink r:id="rId11" w:history="1">
        <w:r w:rsidRPr="00F00527">
          <w:rPr>
            <w:rStyle w:val="Hyperlink"/>
            <w:rFonts w:ascii="Times New Roman" w:hAnsi="Times New Roman" w:cs="Times New Roman"/>
            <w:sz w:val="24"/>
            <w:szCs w:val="24"/>
          </w:rPr>
          <w:t>https://www.healthcare.gov/glossary/preventive-services/</w:t>
        </w:r>
      </w:hyperlink>
      <w:r>
        <w:rPr>
          <w:rFonts w:ascii="Times New Roman" w:hAnsi="Times New Roman" w:cs="Times New Roman"/>
          <w:sz w:val="24"/>
          <w:szCs w:val="24"/>
        </w:rPr>
        <w:t xml:space="preserve">. </w:t>
      </w:r>
    </w:p>
    <w:bookmarkEnd w:id="3"/>
    <w:p w14:paraId="62ECCA27" w14:textId="77777777" w:rsidR="00DE3E2B" w:rsidRPr="00DE3E2B" w:rsidRDefault="00000000" w:rsidP="00E12704">
      <w:pPr>
        <w:spacing w:line="480" w:lineRule="auto"/>
        <w:ind w:left="720" w:hanging="720"/>
        <w:rPr>
          <w:rFonts w:ascii="Times New Roman" w:hAnsi="Times New Roman" w:cs="Times New Roman"/>
          <w:sz w:val="24"/>
          <w:szCs w:val="24"/>
        </w:rPr>
      </w:pPr>
      <w:r w:rsidRPr="00DE3E2B">
        <w:rPr>
          <w:rFonts w:ascii="Times New Roman" w:hAnsi="Times New Roman" w:cs="Times New Roman"/>
          <w:color w:val="333333"/>
          <w:sz w:val="24"/>
          <w:szCs w:val="24"/>
          <w:shd w:val="clear" w:color="auto" w:fill="FFFFFF"/>
        </w:rPr>
        <w:t>Jamili, S., Yousefi, M., pour, H.E. </w:t>
      </w:r>
      <w:r w:rsidRPr="00DE3E2B">
        <w:rPr>
          <w:rFonts w:ascii="Times New Roman" w:hAnsi="Times New Roman" w:cs="Times New Roman"/>
          <w:i/>
          <w:iCs/>
          <w:color w:val="333333"/>
          <w:sz w:val="24"/>
          <w:szCs w:val="24"/>
          <w:shd w:val="clear" w:color="auto" w:fill="FFFFFF"/>
        </w:rPr>
        <w:t>et al.</w:t>
      </w:r>
      <w:r w:rsidRPr="00DE3E2B">
        <w:rPr>
          <w:rFonts w:ascii="Times New Roman" w:hAnsi="Times New Roman" w:cs="Times New Roman"/>
          <w:color w:val="333333"/>
          <w:sz w:val="24"/>
          <w:szCs w:val="24"/>
          <w:shd w:val="clear" w:color="auto" w:fill="FFFFFF"/>
        </w:rPr>
        <w:t> </w:t>
      </w:r>
      <w:r w:rsidR="0042107E">
        <w:rPr>
          <w:rFonts w:ascii="Times New Roman" w:hAnsi="Times New Roman" w:cs="Times New Roman"/>
          <w:color w:val="333333"/>
          <w:sz w:val="24"/>
          <w:szCs w:val="24"/>
          <w:shd w:val="clear" w:color="auto" w:fill="FFFFFF"/>
        </w:rPr>
        <w:t xml:space="preserve">(2023). </w:t>
      </w:r>
      <w:r w:rsidRPr="00DE3E2B">
        <w:rPr>
          <w:rFonts w:ascii="Times New Roman" w:hAnsi="Times New Roman" w:cs="Times New Roman"/>
          <w:color w:val="333333"/>
          <w:sz w:val="24"/>
          <w:szCs w:val="24"/>
          <w:shd w:val="clear" w:color="auto" w:fill="FFFFFF"/>
        </w:rPr>
        <w:t>Comparison of pay-for-performance (P4P) programs in primary care of selected countries: a comparative study. </w:t>
      </w:r>
      <w:r w:rsidRPr="00DE3E2B">
        <w:rPr>
          <w:rFonts w:ascii="Times New Roman" w:hAnsi="Times New Roman" w:cs="Times New Roman"/>
          <w:i/>
          <w:iCs/>
          <w:color w:val="333333"/>
          <w:sz w:val="24"/>
          <w:szCs w:val="24"/>
          <w:shd w:val="clear" w:color="auto" w:fill="FFFFFF"/>
        </w:rPr>
        <w:t>BMC Health Serv Res</w:t>
      </w:r>
      <w:r w:rsidRPr="00DE3E2B">
        <w:rPr>
          <w:rFonts w:ascii="Times New Roman" w:hAnsi="Times New Roman" w:cs="Times New Roman"/>
          <w:color w:val="333333"/>
          <w:sz w:val="24"/>
          <w:szCs w:val="24"/>
          <w:shd w:val="clear" w:color="auto" w:fill="FFFFFF"/>
        </w:rPr>
        <w:t xml:space="preserve"> 23, 865. </w:t>
      </w:r>
      <w:hyperlink r:id="rId12" w:history="1">
        <w:r w:rsidRPr="00DE3E2B">
          <w:rPr>
            <w:rStyle w:val="Hyperlink"/>
            <w:rFonts w:ascii="Times New Roman" w:hAnsi="Times New Roman" w:cs="Times New Roman"/>
            <w:sz w:val="24"/>
            <w:szCs w:val="24"/>
            <w:shd w:val="clear" w:color="auto" w:fill="FFFFFF"/>
          </w:rPr>
          <w:t>https://doi.org/10.1186/s12913-023-09841-6</w:t>
        </w:r>
      </w:hyperlink>
      <w:r w:rsidRPr="00DE3E2B">
        <w:rPr>
          <w:rFonts w:ascii="Times New Roman" w:hAnsi="Times New Roman" w:cs="Times New Roman"/>
          <w:color w:val="333333"/>
          <w:sz w:val="24"/>
          <w:szCs w:val="24"/>
          <w:shd w:val="clear" w:color="auto" w:fill="FFFFFF"/>
        </w:rPr>
        <w:t xml:space="preserve">. </w:t>
      </w:r>
    </w:p>
    <w:p w14:paraId="31143593" w14:textId="77777777" w:rsidR="00E12704" w:rsidRDefault="00000000" w:rsidP="00E12704">
      <w:pPr>
        <w:spacing w:line="480" w:lineRule="auto"/>
        <w:ind w:left="720" w:hanging="720"/>
        <w:rPr>
          <w:rFonts w:ascii="Times New Roman" w:hAnsi="Times New Roman" w:cs="Times New Roman"/>
          <w:color w:val="212121"/>
          <w:sz w:val="24"/>
          <w:szCs w:val="24"/>
          <w:shd w:val="clear" w:color="auto" w:fill="FFFFFF"/>
        </w:rPr>
      </w:pPr>
      <w:r w:rsidRPr="00E12704">
        <w:rPr>
          <w:rFonts w:ascii="Times New Roman" w:hAnsi="Times New Roman" w:cs="Times New Roman"/>
          <w:sz w:val="24"/>
          <w:szCs w:val="24"/>
        </w:rPr>
        <w:lastRenderedPageBreak/>
        <w:t xml:space="preserve">Kruk, M., E., Gage, A., D., Arsenault, C., Jordan, K., et al. (2018). High-quality health systems in the sustainable development goal era: time for a revolution. </w:t>
      </w:r>
      <w:r w:rsidRPr="00E12704">
        <w:rPr>
          <w:rFonts w:ascii="Times New Roman" w:hAnsi="Times New Roman" w:cs="Times New Roman"/>
          <w:i/>
          <w:iCs/>
          <w:color w:val="212121"/>
          <w:sz w:val="24"/>
          <w:szCs w:val="24"/>
          <w:shd w:val="clear" w:color="auto" w:fill="FFFFFF"/>
        </w:rPr>
        <w:t>The Lancet. Global health</w:t>
      </w:r>
      <w:r w:rsidRPr="00E12704">
        <w:rPr>
          <w:rFonts w:ascii="Times New Roman" w:hAnsi="Times New Roman" w:cs="Times New Roman"/>
          <w:color w:val="212121"/>
          <w:sz w:val="24"/>
          <w:szCs w:val="24"/>
          <w:shd w:val="clear" w:color="auto" w:fill="FFFFFF"/>
        </w:rPr>
        <w:t>, </w:t>
      </w:r>
      <w:r w:rsidRPr="00E12704">
        <w:rPr>
          <w:rFonts w:ascii="Times New Roman" w:hAnsi="Times New Roman" w:cs="Times New Roman"/>
          <w:i/>
          <w:iCs/>
          <w:color w:val="212121"/>
          <w:sz w:val="24"/>
          <w:szCs w:val="24"/>
          <w:shd w:val="clear" w:color="auto" w:fill="FFFFFF"/>
        </w:rPr>
        <w:t>6</w:t>
      </w:r>
      <w:r w:rsidRPr="00E12704">
        <w:rPr>
          <w:rFonts w:ascii="Times New Roman" w:hAnsi="Times New Roman" w:cs="Times New Roman"/>
          <w:color w:val="212121"/>
          <w:sz w:val="24"/>
          <w:szCs w:val="24"/>
          <w:shd w:val="clear" w:color="auto" w:fill="FFFFFF"/>
        </w:rPr>
        <w:t xml:space="preserve">(11), e1196–e1252. </w:t>
      </w:r>
      <w:hyperlink r:id="rId13" w:history="1">
        <w:r w:rsidRPr="00E12704">
          <w:rPr>
            <w:rStyle w:val="Hyperlink"/>
            <w:rFonts w:ascii="Times New Roman" w:hAnsi="Times New Roman" w:cs="Times New Roman"/>
            <w:sz w:val="24"/>
            <w:szCs w:val="24"/>
            <w:shd w:val="clear" w:color="auto" w:fill="FFFFFF"/>
          </w:rPr>
          <w:t>https://doi.org/10.1016/S2214-109X(18)30386-3</w:t>
        </w:r>
      </w:hyperlink>
      <w:r w:rsidRPr="00E12704">
        <w:rPr>
          <w:rFonts w:ascii="Times New Roman" w:hAnsi="Times New Roman" w:cs="Times New Roman"/>
          <w:color w:val="212121"/>
          <w:sz w:val="24"/>
          <w:szCs w:val="24"/>
          <w:shd w:val="clear" w:color="auto" w:fill="FFFFFF"/>
        </w:rPr>
        <w:t xml:space="preserve">. </w:t>
      </w:r>
    </w:p>
    <w:p w14:paraId="6F582875" w14:textId="77777777" w:rsidR="009740AE" w:rsidRDefault="00000000" w:rsidP="00E12704">
      <w:pPr>
        <w:spacing w:line="480" w:lineRule="auto"/>
        <w:ind w:left="720" w:hanging="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Online Healthcare MBA. (2021). What is preventive healthcare? Online Healthcare MBA. </w:t>
      </w:r>
      <w:hyperlink r:id="rId14" w:history="1">
        <w:r w:rsidRPr="00F00527">
          <w:rPr>
            <w:rStyle w:val="Hyperlink"/>
            <w:rFonts w:ascii="Times New Roman" w:hAnsi="Times New Roman" w:cs="Times New Roman"/>
            <w:sz w:val="24"/>
            <w:szCs w:val="24"/>
            <w:shd w:val="clear" w:color="auto" w:fill="FFFFFF"/>
          </w:rPr>
          <w:t>https://healthcaremba.gwu.edu/blog/what-is-preventive-healthcare</w:t>
        </w:r>
      </w:hyperlink>
      <w:r>
        <w:rPr>
          <w:rFonts w:ascii="Times New Roman" w:hAnsi="Times New Roman" w:cs="Times New Roman"/>
          <w:color w:val="212121"/>
          <w:sz w:val="24"/>
          <w:szCs w:val="24"/>
          <w:shd w:val="clear" w:color="auto" w:fill="FFFFFF"/>
        </w:rPr>
        <w:t xml:space="preserve">. </w:t>
      </w:r>
    </w:p>
    <w:p w14:paraId="24150B77" w14:textId="77777777" w:rsidR="0042107E" w:rsidRPr="007907C8" w:rsidRDefault="00000000" w:rsidP="007907C8">
      <w:pPr>
        <w:spacing w:line="480" w:lineRule="auto"/>
        <w:ind w:left="720" w:hanging="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Levine, S., Malone, E., LekivChili, A., &amp; Briss, P. (2019). Health care industry insights: why the use of preventive services is still low. Prev Chronic Dis 16: 180625. </w:t>
      </w:r>
      <w:hyperlink r:id="rId15" w:anchor=":~:text=It%20is%20far%20better%20to,costs%20(2%2C7)" w:history="1">
        <w:r w:rsidRPr="00E41227">
          <w:rPr>
            <w:rStyle w:val="Hyperlink"/>
            <w:rFonts w:ascii="Times New Roman" w:hAnsi="Times New Roman" w:cs="Times New Roman"/>
            <w:sz w:val="24"/>
            <w:szCs w:val="24"/>
            <w:shd w:val="clear" w:color="auto" w:fill="FFFFFF"/>
          </w:rPr>
          <w:t>https://www.cdc.gov/pcd/issues/2019/18_0625.htm#:~:text=It%20is%20far%20better%20to,costs%20(2%2C7)</w:t>
        </w:r>
      </w:hyperlink>
      <w:r>
        <w:rPr>
          <w:rFonts w:ascii="Times New Roman" w:hAnsi="Times New Roman" w:cs="Times New Roman"/>
          <w:color w:val="212121"/>
          <w:sz w:val="24"/>
          <w:szCs w:val="24"/>
          <w:shd w:val="clear" w:color="auto" w:fill="FFFFFF"/>
        </w:rPr>
        <w:t xml:space="preserve">. </w:t>
      </w:r>
      <w:r w:rsidRPr="007907C8">
        <w:rPr>
          <w:rFonts w:ascii="Times New Roman" w:hAnsi="Times New Roman" w:cs="Times New Roman"/>
          <w:color w:val="212121"/>
          <w:sz w:val="24"/>
          <w:szCs w:val="24"/>
          <w:shd w:val="clear" w:color="auto" w:fill="FFFFFF"/>
        </w:rPr>
        <w:t xml:space="preserve"> </w:t>
      </w:r>
    </w:p>
    <w:p w14:paraId="56658A8D" w14:textId="77777777" w:rsidR="009D74D6" w:rsidRDefault="00000000" w:rsidP="00E12704">
      <w:pPr>
        <w:spacing w:line="480" w:lineRule="auto"/>
        <w:ind w:left="720" w:hanging="720"/>
        <w:rPr>
          <w:rFonts w:ascii="Times New Roman" w:hAnsi="Times New Roman" w:cs="Times New Roman"/>
          <w:color w:val="212121"/>
          <w:sz w:val="24"/>
          <w:szCs w:val="24"/>
          <w:shd w:val="clear" w:color="auto" w:fill="FFFFFF"/>
        </w:rPr>
      </w:pPr>
      <w:r w:rsidRPr="009D74D6">
        <w:rPr>
          <w:rFonts w:ascii="Times New Roman" w:hAnsi="Times New Roman" w:cs="Times New Roman"/>
          <w:color w:val="212121"/>
          <w:sz w:val="24"/>
          <w:szCs w:val="24"/>
          <w:shd w:val="clear" w:color="auto" w:fill="FFFFFF"/>
        </w:rPr>
        <w:t>Shokri, F., B</w:t>
      </w:r>
      <w:r w:rsidR="008A53D8">
        <w:rPr>
          <w:rFonts w:ascii="Times New Roman" w:hAnsi="Times New Roman" w:cs="Times New Roman"/>
          <w:color w:val="212121"/>
          <w:sz w:val="24"/>
          <w:szCs w:val="24"/>
          <w:shd w:val="clear" w:color="auto" w:fill="FFFFFF"/>
        </w:rPr>
        <w:t>ahrainian</w:t>
      </w:r>
      <w:r w:rsidRPr="009D74D6">
        <w:rPr>
          <w:rFonts w:ascii="Times New Roman" w:hAnsi="Times New Roman" w:cs="Times New Roman"/>
          <w:color w:val="212121"/>
          <w:sz w:val="24"/>
          <w:szCs w:val="24"/>
          <w:shd w:val="clear" w:color="auto" w:fill="FFFFFF"/>
        </w:rPr>
        <w:t>., S., T</w:t>
      </w:r>
      <w:r w:rsidR="008A53D8">
        <w:rPr>
          <w:rFonts w:ascii="Times New Roman" w:hAnsi="Times New Roman" w:cs="Times New Roman"/>
          <w:color w:val="212121"/>
          <w:sz w:val="24"/>
          <w:szCs w:val="24"/>
          <w:shd w:val="clear" w:color="auto" w:fill="FFFFFF"/>
        </w:rPr>
        <w:t>aji</w:t>
      </w:r>
      <w:r w:rsidRPr="009D74D6">
        <w:rPr>
          <w:rFonts w:ascii="Times New Roman" w:hAnsi="Times New Roman" w:cs="Times New Roman"/>
          <w:color w:val="212121"/>
          <w:sz w:val="24"/>
          <w:szCs w:val="24"/>
          <w:shd w:val="clear" w:color="auto" w:fill="FFFFFF"/>
        </w:rPr>
        <w:t>, F., Rezvani, E., et al. (2023). The potential role of telemedicine in the infectious disease pandemic with an emphasis on COVID-19: A narrative review. </w:t>
      </w:r>
      <w:r w:rsidRPr="009D74D6">
        <w:rPr>
          <w:rFonts w:ascii="Times New Roman" w:hAnsi="Times New Roman" w:cs="Times New Roman"/>
          <w:i/>
          <w:iCs/>
          <w:color w:val="212121"/>
          <w:sz w:val="24"/>
          <w:szCs w:val="24"/>
          <w:shd w:val="clear" w:color="auto" w:fill="FFFFFF"/>
        </w:rPr>
        <w:t>Health science reports</w:t>
      </w:r>
      <w:r w:rsidRPr="009D74D6">
        <w:rPr>
          <w:rFonts w:ascii="Times New Roman" w:hAnsi="Times New Roman" w:cs="Times New Roman"/>
          <w:color w:val="212121"/>
          <w:sz w:val="24"/>
          <w:szCs w:val="24"/>
          <w:shd w:val="clear" w:color="auto" w:fill="FFFFFF"/>
        </w:rPr>
        <w:t>, </w:t>
      </w:r>
      <w:r w:rsidRPr="009D74D6">
        <w:rPr>
          <w:rFonts w:ascii="Times New Roman" w:hAnsi="Times New Roman" w:cs="Times New Roman"/>
          <w:i/>
          <w:iCs/>
          <w:color w:val="212121"/>
          <w:sz w:val="24"/>
          <w:szCs w:val="24"/>
          <w:shd w:val="clear" w:color="auto" w:fill="FFFFFF"/>
        </w:rPr>
        <w:t>6</w:t>
      </w:r>
      <w:r w:rsidRPr="009D74D6">
        <w:rPr>
          <w:rFonts w:ascii="Times New Roman" w:hAnsi="Times New Roman" w:cs="Times New Roman"/>
          <w:color w:val="212121"/>
          <w:sz w:val="24"/>
          <w:szCs w:val="24"/>
          <w:shd w:val="clear" w:color="auto" w:fill="FFFFFF"/>
        </w:rPr>
        <w:t xml:space="preserve">(1), e1024. </w:t>
      </w:r>
      <w:hyperlink r:id="rId16" w:history="1">
        <w:r w:rsidRPr="009D74D6">
          <w:rPr>
            <w:rStyle w:val="Hyperlink"/>
            <w:rFonts w:ascii="Times New Roman" w:hAnsi="Times New Roman" w:cs="Times New Roman"/>
            <w:sz w:val="24"/>
            <w:szCs w:val="24"/>
            <w:shd w:val="clear" w:color="auto" w:fill="FFFFFF"/>
          </w:rPr>
          <w:t>https://doi.org/10.1002/hsr2.1024</w:t>
        </w:r>
      </w:hyperlink>
      <w:r w:rsidRPr="009D74D6">
        <w:rPr>
          <w:rFonts w:ascii="Times New Roman" w:hAnsi="Times New Roman" w:cs="Times New Roman"/>
          <w:color w:val="212121"/>
          <w:sz w:val="24"/>
          <w:szCs w:val="24"/>
          <w:shd w:val="clear" w:color="auto" w:fill="FFFFFF"/>
        </w:rPr>
        <w:t xml:space="preserve">. </w:t>
      </w:r>
    </w:p>
    <w:p w14:paraId="483B72D5" w14:textId="1717D5BB" w:rsidR="00B604E3" w:rsidRPr="00B604E3" w:rsidRDefault="00000000" w:rsidP="00493F6C">
      <w:pPr>
        <w:spacing w:line="480" w:lineRule="auto"/>
        <w:ind w:left="720" w:hanging="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Shrank, W., H., DeParle, N., Gottlieb, S., Sachin, H., J. et al. (2021). Health costs and financing: challenges and strategies for a new administration. </w:t>
      </w:r>
      <w:r>
        <w:rPr>
          <w:rFonts w:ascii="Times New Roman" w:hAnsi="Times New Roman" w:cs="Times New Roman"/>
          <w:i/>
          <w:iCs/>
          <w:color w:val="212121"/>
          <w:sz w:val="24"/>
          <w:szCs w:val="24"/>
          <w:shd w:val="clear" w:color="auto" w:fill="FFFFFF"/>
        </w:rPr>
        <w:t xml:space="preserve">Health affairs </w:t>
      </w:r>
      <w:r w:rsidRPr="00B604E3">
        <w:rPr>
          <w:rFonts w:ascii="Times New Roman" w:hAnsi="Times New Roman" w:cs="Times New Roman"/>
          <w:color w:val="212121"/>
          <w:sz w:val="24"/>
          <w:szCs w:val="24"/>
          <w:shd w:val="clear" w:color="auto" w:fill="FFFFFF"/>
        </w:rPr>
        <w:t>40(2).</w:t>
      </w:r>
      <w:r w:rsidR="00493F6C">
        <w:rPr>
          <w:rFonts w:ascii="Times New Roman" w:hAnsi="Times New Roman" w:cs="Times New Roman"/>
          <w:i/>
          <w:iCs/>
          <w:color w:val="212121"/>
          <w:sz w:val="24"/>
          <w:szCs w:val="24"/>
          <w:shd w:val="clear" w:color="auto" w:fill="FFFFFF"/>
        </w:rPr>
        <w:t xml:space="preserve"> </w:t>
      </w:r>
      <w:hyperlink r:id="rId17" w:history="1">
        <w:r w:rsidR="00A70DE7" w:rsidRPr="00F00527">
          <w:rPr>
            <w:rStyle w:val="Hyperlink"/>
            <w:rFonts w:ascii="Times New Roman" w:hAnsi="Times New Roman" w:cs="Times New Roman"/>
            <w:sz w:val="24"/>
            <w:szCs w:val="24"/>
            <w:shd w:val="clear" w:color="auto" w:fill="FFFFFF"/>
          </w:rPr>
          <w:t>https://doi.org/10.1377/hlthaff.2020.01560</w:t>
        </w:r>
      </w:hyperlink>
      <w:r>
        <w:rPr>
          <w:rFonts w:ascii="Times New Roman" w:hAnsi="Times New Roman" w:cs="Times New Roman"/>
          <w:color w:val="000000"/>
          <w:sz w:val="24"/>
          <w:szCs w:val="24"/>
          <w:shd w:val="clear" w:color="auto" w:fill="FFFFFF"/>
        </w:rPr>
        <w:t xml:space="preserve">. </w:t>
      </w:r>
    </w:p>
    <w:p w14:paraId="2BB131D8" w14:textId="77777777" w:rsidR="00BE1560" w:rsidRDefault="00000000" w:rsidP="00E12704">
      <w:pPr>
        <w:spacing w:line="480" w:lineRule="auto"/>
        <w:ind w:left="720" w:hanging="720"/>
        <w:rPr>
          <w:rFonts w:ascii="Times New Roman" w:hAnsi="Times New Roman" w:cs="Times New Roman"/>
          <w:color w:val="212121"/>
          <w:sz w:val="24"/>
          <w:szCs w:val="24"/>
          <w:shd w:val="clear" w:color="auto" w:fill="FFFFFF"/>
        </w:rPr>
      </w:pPr>
      <w:r w:rsidRPr="00BE1560">
        <w:rPr>
          <w:rFonts w:ascii="Times New Roman" w:hAnsi="Times New Roman" w:cs="Times New Roman"/>
          <w:color w:val="212121"/>
          <w:sz w:val="24"/>
          <w:szCs w:val="24"/>
          <w:shd w:val="clear" w:color="auto" w:fill="FFFFFF"/>
        </w:rPr>
        <w:t>Smith, K. M., Machalaba, C. C., Seifman, R., Feferholtz, Y., &amp; Karesh, W. B. (2019). Infectious disease and economics: The case for considering multi-sectoral impacts. </w:t>
      </w:r>
      <w:r w:rsidRPr="00BE1560">
        <w:rPr>
          <w:rFonts w:ascii="Times New Roman" w:hAnsi="Times New Roman" w:cs="Times New Roman"/>
          <w:i/>
          <w:iCs/>
          <w:color w:val="212121"/>
          <w:sz w:val="24"/>
          <w:szCs w:val="24"/>
          <w:shd w:val="clear" w:color="auto" w:fill="FFFFFF"/>
        </w:rPr>
        <w:t>One Health</w:t>
      </w:r>
      <w:r w:rsidRPr="00BE1560">
        <w:rPr>
          <w:rFonts w:ascii="Times New Roman" w:hAnsi="Times New Roman" w:cs="Times New Roman"/>
          <w:color w:val="212121"/>
          <w:sz w:val="24"/>
          <w:szCs w:val="24"/>
          <w:shd w:val="clear" w:color="auto" w:fill="FFFFFF"/>
        </w:rPr>
        <w:t> </w:t>
      </w:r>
      <w:r w:rsidRPr="00BE1560">
        <w:rPr>
          <w:rFonts w:ascii="Times New Roman" w:hAnsi="Times New Roman" w:cs="Times New Roman"/>
          <w:i/>
          <w:iCs/>
          <w:color w:val="212121"/>
          <w:sz w:val="24"/>
          <w:szCs w:val="24"/>
          <w:shd w:val="clear" w:color="auto" w:fill="FFFFFF"/>
        </w:rPr>
        <w:t>7</w:t>
      </w:r>
      <w:r w:rsidRPr="00BE1560">
        <w:rPr>
          <w:rFonts w:ascii="Times New Roman" w:hAnsi="Times New Roman" w:cs="Times New Roman"/>
          <w:color w:val="212121"/>
          <w:sz w:val="24"/>
          <w:szCs w:val="24"/>
          <w:shd w:val="clear" w:color="auto" w:fill="FFFFFF"/>
        </w:rPr>
        <w:t xml:space="preserve">, 100080. </w:t>
      </w:r>
      <w:hyperlink r:id="rId18" w:history="1">
        <w:r w:rsidRPr="00BE1560">
          <w:rPr>
            <w:rStyle w:val="Hyperlink"/>
            <w:rFonts w:ascii="Times New Roman" w:hAnsi="Times New Roman" w:cs="Times New Roman"/>
            <w:sz w:val="24"/>
            <w:szCs w:val="24"/>
            <w:shd w:val="clear" w:color="auto" w:fill="FFFFFF"/>
          </w:rPr>
          <w:t>https://doi.org/10.1016/j.onehlt.2018.100080</w:t>
        </w:r>
      </w:hyperlink>
      <w:r w:rsidRPr="00BE1560">
        <w:rPr>
          <w:rFonts w:ascii="Times New Roman" w:hAnsi="Times New Roman" w:cs="Times New Roman"/>
          <w:color w:val="212121"/>
          <w:sz w:val="24"/>
          <w:szCs w:val="24"/>
          <w:shd w:val="clear" w:color="auto" w:fill="FFFFFF"/>
        </w:rPr>
        <w:t xml:space="preserve">. </w:t>
      </w:r>
    </w:p>
    <w:p w14:paraId="47D1E47D" w14:textId="77777777" w:rsidR="007907C8" w:rsidRPr="00DA6CBA" w:rsidRDefault="00000000" w:rsidP="00E12704">
      <w:pPr>
        <w:spacing w:line="480" w:lineRule="auto"/>
        <w:ind w:left="720" w:hanging="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The Health Foundation. (2023). </w:t>
      </w:r>
      <w:r w:rsidR="00DA6CBA">
        <w:rPr>
          <w:rFonts w:ascii="Times New Roman" w:hAnsi="Times New Roman" w:cs="Times New Roman"/>
          <w:i/>
          <w:iCs/>
          <w:color w:val="212121"/>
          <w:sz w:val="24"/>
          <w:szCs w:val="24"/>
          <w:shd w:val="clear" w:color="auto" w:fill="FFFFFF"/>
        </w:rPr>
        <w:t xml:space="preserve">Acute Care. </w:t>
      </w:r>
      <w:r w:rsidR="00DA6CBA">
        <w:rPr>
          <w:rFonts w:ascii="Times New Roman" w:hAnsi="Times New Roman" w:cs="Times New Roman"/>
          <w:color w:val="212121"/>
          <w:sz w:val="24"/>
          <w:szCs w:val="24"/>
          <w:shd w:val="clear" w:color="auto" w:fill="FFFFFF"/>
        </w:rPr>
        <w:t xml:space="preserve">The Health Foundation. </w:t>
      </w:r>
      <w:hyperlink r:id="rId19" w:history="1">
        <w:r w:rsidR="00DA6CBA" w:rsidRPr="00F00527">
          <w:rPr>
            <w:rStyle w:val="Hyperlink"/>
            <w:rFonts w:ascii="Times New Roman" w:hAnsi="Times New Roman" w:cs="Times New Roman"/>
            <w:sz w:val="24"/>
            <w:szCs w:val="24"/>
            <w:shd w:val="clear" w:color="auto" w:fill="FFFFFF"/>
          </w:rPr>
          <w:t>https://www.health.org.uk/topics/acute-care</w:t>
        </w:r>
      </w:hyperlink>
      <w:r w:rsidR="00DA6CBA">
        <w:rPr>
          <w:rFonts w:ascii="Times New Roman" w:hAnsi="Times New Roman" w:cs="Times New Roman"/>
          <w:color w:val="212121"/>
          <w:sz w:val="24"/>
          <w:szCs w:val="24"/>
          <w:shd w:val="clear" w:color="auto" w:fill="FFFFFF"/>
        </w:rPr>
        <w:t xml:space="preserve">. </w:t>
      </w:r>
    </w:p>
    <w:p w14:paraId="5A377204" w14:textId="77777777" w:rsidR="007907C8" w:rsidRPr="008A53D8" w:rsidRDefault="00000000" w:rsidP="001D0D66">
      <w:pPr>
        <w:spacing w:before="240" w:line="480" w:lineRule="auto"/>
        <w:ind w:left="720" w:hanging="720"/>
        <w:rPr>
          <w:rFonts w:ascii="Times New Roman" w:hAnsi="Times New Roman" w:cs="Times New Roman"/>
          <w:b/>
          <w:bCs/>
          <w:color w:val="212121"/>
          <w:sz w:val="24"/>
          <w:szCs w:val="24"/>
          <w:shd w:val="clear" w:color="auto" w:fill="FFFFFF"/>
        </w:rPr>
      </w:pPr>
      <w:bookmarkStart w:id="4" w:name="_Hlk151562638"/>
      <w:r w:rsidRPr="007907C8">
        <w:rPr>
          <w:rFonts w:ascii="Times New Roman" w:hAnsi="Times New Roman" w:cs="Times New Roman"/>
          <w:sz w:val="24"/>
          <w:szCs w:val="24"/>
        </w:rPr>
        <w:lastRenderedPageBreak/>
        <w:t>Willis J, Antono B, Bazemore A, Jetty A, et al</w:t>
      </w:r>
      <w:r w:rsidRPr="007907C8">
        <w:rPr>
          <w:rFonts w:ascii="Times New Roman" w:hAnsi="Times New Roman" w:cs="Times New Roman"/>
          <w:color w:val="212121"/>
          <w:sz w:val="24"/>
          <w:szCs w:val="24"/>
          <w:shd w:val="clear" w:color="auto" w:fill="FFFFFF"/>
        </w:rPr>
        <w:t xml:space="preserve">. (2020). </w:t>
      </w:r>
      <w:r w:rsidRPr="007907C8">
        <w:rPr>
          <w:rFonts w:ascii="Times New Roman" w:hAnsi="Times New Roman" w:cs="Times New Roman"/>
          <w:i/>
          <w:iCs/>
          <w:color w:val="212121"/>
          <w:sz w:val="24"/>
          <w:szCs w:val="24"/>
          <w:shd w:val="clear" w:color="auto" w:fill="FFFFFF"/>
        </w:rPr>
        <w:t xml:space="preserve">Primary care in the United States: a chartbook of facts and statistics. </w:t>
      </w:r>
      <w:r w:rsidRPr="007907C8">
        <w:rPr>
          <w:rFonts w:ascii="Times New Roman" w:hAnsi="Times New Roman" w:cs="Times New Roman"/>
          <w:color w:val="212121"/>
          <w:sz w:val="24"/>
          <w:szCs w:val="24"/>
          <w:shd w:val="clear" w:color="auto" w:fill="FFFFFF"/>
        </w:rPr>
        <w:t xml:space="preserve">Robert Graham Center. </w:t>
      </w:r>
      <w:hyperlink r:id="rId20" w:history="1">
        <w:r w:rsidRPr="007907C8">
          <w:rPr>
            <w:rStyle w:val="Hyperlink"/>
            <w:rFonts w:ascii="Times New Roman" w:hAnsi="Times New Roman" w:cs="Times New Roman"/>
            <w:sz w:val="24"/>
            <w:szCs w:val="24"/>
            <w:shd w:val="clear" w:color="auto" w:fill="FFFFFF"/>
          </w:rPr>
          <w:t>https://www.graham-center.org/content/dam/rgc/documents/publications-reports/reports/PrimaryCareChartbook2021.pdf</w:t>
        </w:r>
      </w:hyperlink>
      <w:r>
        <w:rPr>
          <w:rStyle w:val="Hyperlink"/>
          <w:rFonts w:ascii="Times New Roman" w:hAnsi="Times New Roman" w:cs="Times New Roman"/>
          <w:sz w:val="24"/>
          <w:szCs w:val="24"/>
          <w:shd w:val="clear" w:color="auto" w:fill="FFFFFF"/>
        </w:rPr>
        <w:t>the</w:t>
      </w:r>
    </w:p>
    <w:bookmarkEnd w:id="4"/>
    <w:p w14:paraId="1C1DDECB" w14:textId="77777777" w:rsidR="009D74D6" w:rsidRDefault="00000000" w:rsidP="00E12704">
      <w:pPr>
        <w:spacing w:line="480" w:lineRule="auto"/>
        <w:ind w:left="720" w:hanging="720"/>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shd w:val="clear" w:color="auto" w:fill="FFFFFF"/>
        </w:rPr>
        <w:t xml:space="preserve">World Health Organization (WHO). (2023). </w:t>
      </w:r>
      <w:r w:rsidRPr="009D74D6">
        <w:rPr>
          <w:rFonts w:ascii="Times New Roman" w:hAnsi="Times New Roman" w:cs="Times New Roman"/>
          <w:i/>
          <w:iCs/>
          <w:color w:val="333333"/>
          <w:sz w:val="24"/>
          <w:szCs w:val="24"/>
          <w:u w:val="single"/>
          <w:shd w:val="clear" w:color="auto" w:fill="FFFFFF"/>
        </w:rPr>
        <w:t xml:space="preserve">Health promotion and disease prevention through population-based interventions, including action to address societal determinants and health inequity. </w:t>
      </w:r>
      <w:r>
        <w:rPr>
          <w:rFonts w:ascii="Times New Roman" w:hAnsi="Times New Roman" w:cs="Times New Roman"/>
          <w:color w:val="333333"/>
          <w:sz w:val="24"/>
          <w:szCs w:val="24"/>
          <w:u w:val="single"/>
          <w:shd w:val="clear" w:color="auto" w:fill="FFFFFF"/>
        </w:rPr>
        <w:t xml:space="preserve">WHO. </w:t>
      </w:r>
      <w:hyperlink r:id="rId21" w:history="1">
        <w:r w:rsidRPr="00E41227">
          <w:rPr>
            <w:rStyle w:val="Hyperlink"/>
            <w:rFonts w:ascii="Times New Roman" w:hAnsi="Times New Roman" w:cs="Times New Roman"/>
            <w:sz w:val="24"/>
            <w:szCs w:val="24"/>
            <w:shd w:val="clear" w:color="auto" w:fill="FFFFFF"/>
          </w:rPr>
          <w:t>https://www.emro.who.int/about-who/public-health-functions/health-promotion-disease-prevention.html</w:t>
        </w:r>
      </w:hyperlink>
      <w:r>
        <w:rPr>
          <w:rFonts w:ascii="Times New Roman" w:hAnsi="Times New Roman" w:cs="Times New Roman"/>
          <w:color w:val="333333"/>
          <w:sz w:val="24"/>
          <w:szCs w:val="24"/>
          <w:u w:val="single"/>
          <w:shd w:val="clear" w:color="auto" w:fill="FFFFFF"/>
        </w:rPr>
        <w:t xml:space="preserve">. </w:t>
      </w:r>
    </w:p>
    <w:p w14:paraId="40F8D555" w14:textId="77777777" w:rsidR="009D74D6" w:rsidRDefault="009D74D6" w:rsidP="00E12704">
      <w:pPr>
        <w:spacing w:line="480" w:lineRule="auto"/>
        <w:ind w:left="720" w:hanging="720"/>
        <w:rPr>
          <w:rFonts w:ascii="Times New Roman" w:hAnsi="Times New Roman" w:cs="Times New Roman"/>
          <w:color w:val="333333"/>
          <w:sz w:val="24"/>
          <w:szCs w:val="24"/>
          <w:shd w:val="clear" w:color="auto" w:fill="FFFFFF"/>
        </w:rPr>
      </w:pPr>
    </w:p>
    <w:p w14:paraId="251CF193" w14:textId="77777777" w:rsidR="009D74D6" w:rsidRDefault="009D74D6" w:rsidP="00E12704">
      <w:pPr>
        <w:spacing w:line="480" w:lineRule="auto"/>
        <w:ind w:left="720" w:hanging="720"/>
        <w:rPr>
          <w:rFonts w:ascii="Times New Roman" w:hAnsi="Times New Roman" w:cs="Times New Roman"/>
          <w:color w:val="333333"/>
          <w:sz w:val="24"/>
          <w:szCs w:val="24"/>
          <w:shd w:val="clear" w:color="auto" w:fill="FFFFFF"/>
        </w:rPr>
      </w:pPr>
    </w:p>
    <w:p w14:paraId="626C6A1E" w14:textId="77777777" w:rsidR="00E12704" w:rsidRPr="00E12704" w:rsidRDefault="00E12704" w:rsidP="00E12704">
      <w:pPr>
        <w:spacing w:line="480" w:lineRule="auto"/>
        <w:ind w:left="720" w:hanging="720"/>
        <w:rPr>
          <w:rFonts w:ascii="Times New Roman" w:hAnsi="Times New Roman" w:cs="Times New Roman"/>
          <w:sz w:val="24"/>
          <w:szCs w:val="24"/>
        </w:rPr>
      </w:pPr>
    </w:p>
    <w:p w14:paraId="742FF94E" w14:textId="77777777" w:rsidR="00E12704" w:rsidRDefault="00E12704" w:rsidP="00E12704">
      <w:pPr>
        <w:spacing w:line="480" w:lineRule="auto"/>
        <w:ind w:left="720" w:hanging="720"/>
        <w:rPr>
          <w:rFonts w:ascii="Times New Roman" w:hAnsi="Times New Roman" w:cs="Times New Roman"/>
          <w:sz w:val="24"/>
          <w:szCs w:val="24"/>
        </w:rPr>
      </w:pPr>
    </w:p>
    <w:p w14:paraId="6F7C2191" w14:textId="77777777" w:rsidR="00E12704" w:rsidRDefault="00E12704" w:rsidP="00E12704">
      <w:pPr>
        <w:spacing w:line="480" w:lineRule="auto"/>
        <w:ind w:left="720" w:hanging="720"/>
        <w:rPr>
          <w:rFonts w:ascii="Times New Roman" w:hAnsi="Times New Roman" w:cs="Times New Roman"/>
          <w:sz w:val="24"/>
          <w:szCs w:val="24"/>
        </w:rPr>
      </w:pPr>
    </w:p>
    <w:p w14:paraId="082097D0" w14:textId="77777777" w:rsidR="00E12704" w:rsidRPr="00E12704" w:rsidRDefault="00E12704" w:rsidP="00E12704">
      <w:pPr>
        <w:spacing w:line="480" w:lineRule="auto"/>
        <w:ind w:left="720" w:hanging="720"/>
        <w:rPr>
          <w:rFonts w:ascii="Times New Roman" w:hAnsi="Times New Roman" w:cs="Times New Roman"/>
          <w:sz w:val="24"/>
          <w:szCs w:val="24"/>
        </w:rPr>
      </w:pPr>
    </w:p>
    <w:p w14:paraId="656CBBD6" w14:textId="77777777" w:rsidR="00B91161" w:rsidRDefault="00B91161" w:rsidP="004B5044">
      <w:pPr>
        <w:spacing w:line="480" w:lineRule="auto"/>
        <w:ind w:firstLine="720"/>
        <w:rPr>
          <w:rFonts w:ascii="Times New Roman" w:hAnsi="Times New Roman" w:cs="Times New Roman"/>
          <w:sz w:val="24"/>
          <w:szCs w:val="24"/>
        </w:rPr>
      </w:pPr>
    </w:p>
    <w:p w14:paraId="176EE034" w14:textId="77777777" w:rsidR="00B91161" w:rsidRDefault="00B91161" w:rsidP="004B5044">
      <w:pPr>
        <w:spacing w:line="480" w:lineRule="auto"/>
        <w:ind w:firstLine="720"/>
        <w:rPr>
          <w:rFonts w:ascii="Times New Roman" w:hAnsi="Times New Roman" w:cs="Times New Roman"/>
          <w:sz w:val="24"/>
          <w:szCs w:val="24"/>
        </w:rPr>
      </w:pPr>
    </w:p>
    <w:p w14:paraId="139BEE1B" w14:textId="77777777" w:rsidR="00906BB6" w:rsidRDefault="00906BB6" w:rsidP="00814187">
      <w:pPr>
        <w:spacing w:line="480" w:lineRule="auto"/>
        <w:ind w:firstLine="720"/>
        <w:rPr>
          <w:rFonts w:ascii="Times New Roman" w:hAnsi="Times New Roman" w:cs="Times New Roman"/>
          <w:sz w:val="24"/>
          <w:szCs w:val="24"/>
        </w:rPr>
      </w:pPr>
    </w:p>
    <w:p w14:paraId="600A32A9" w14:textId="77777777" w:rsidR="00BE187D" w:rsidRDefault="00BE187D" w:rsidP="00814187">
      <w:pPr>
        <w:spacing w:line="480" w:lineRule="auto"/>
        <w:ind w:firstLine="720"/>
        <w:rPr>
          <w:rFonts w:ascii="Times New Roman" w:hAnsi="Times New Roman" w:cs="Times New Roman"/>
          <w:sz w:val="24"/>
          <w:szCs w:val="24"/>
        </w:rPr>
      </w:pPr>
    </w:p>
    <w:p w14:paraId="024667B9" w14:textId="77777777" w:rsidR="000D7D26" w:rsidRDefault="000D7D26" w:rsidP="00814187">
      <w:pPr>
        <w:spacing w:line="480" w:lineRule="auto"/>
        <w:ind w:firstLine="720"/>
        <w:rPr>
          <w:rFonts w:ascii="Times New Roman" w:hAnsi="Times New Roman" w:cs="Times New Roman"/>
          <w:sz w:val="24"/>
          <w:szCs w:val="24"/>
        </w:rPr>
      </w:pPr>
    </w:p>
    <w:p w14:paraId="6205CE04" w14:textId="77777777" w:rsidR="006444B0" w:rsidRDefault="006444B0" w:rsidP="007D5FF8">
      <w:pPr>
        <w:spacing w:line="480" w:lineRule="auto"/>
        <w:ind w:firstLine="720"/>
        <w:rPr>
          <w:rFonts w:ascii="Times New Roman" w:hAnsi="Times New Roman" w:cs="Times New Roman"/>
          <w:sz w:val="24"/>
          <w:szCs w:val="24"/>
        </w:rPr>
      </w:pPr>
    </w:p>
    <w:p w14:paraId="13BD56EF" w14:textId="77777777" w:rsidR="006444B0" w:rsidRDefault="006444B0" w:rsidP="007D5FF8">
      <w:pPr>
        <w:spacing w:line="480" w:lineRule="auto"/>
        <w:ind w:firstLine="720"/>
        <w:rPr>
          <w:rFonts w:ascii="Times New Roman" w:hAnsi="Times New Roman" w:cs="Times New Roman"/>
          <w:sz w:val="24"/>
          <w:szCs w:val="24"/>
        </w:rPr>
      </w:pPr>
    </w:p>
    <w:p w14:paraId="61BCD362" w14:textId="77777777" w:rsidR="006444B0" w:rsidRDefault="006444B0" w:rsidP="007D5FF8">
      <w:pPr>
        <w:spacing w:line="480" w:lineRule="auto"/>
        <w:ind w:firstLine="720"/>
        <w:rPr>
          <w:rFonts w:ascii="Times New Roman" w:hAnsi="Times New Roman" w:cs="Times New Roman"/>
          <w:sz w:val="24"/>
          <w:szCs w:val="24"/>
        </w:rPr>
      </w:pPr>
    </w:p>
    <w:p w14:paraId="24063829" w14:textId="77777777" w:rsidR="006444B0" w:rsidRDefault="006444B0" w:rsidP="007D5FF8">
      <w:pPr>
        <w:spacing w:line="480" w:lineRule="auto"/>
        <w:ind w:firstLine="720"/>
        <w:rPr>
          <w:rFonts w:ascii="Times New Roman" w:hAnsi="Times New Roman" w:cs="Times New Roman"/>
          <w:sz w:val="24"/>
          <w:szCs w:val="24"/>
        </w:rPr>
      </w:pPr>
    </w:p>
    <w:p w14:paraId="1DA54368" w14:textId="77777777" w:rsidR="006444B0" w:rsidRPr="006444B0" w:rsidRDefault="006444B0" w:rsidP="006444B0">
      <w:pPr>
        <w:spacing w:line="480" w:lineRule="auto"/>
        <w:rPr>
          <w:rFonts w:ascii="Times New Roman" w:hAnsi="Times New Roman" w:cs="Times New Roman"/>
          <w:sz w:val="24"/>
          <w:szCs w:val="24"/>
        </w:rPr>
      </w:pPr>
    </w:p>
    <w:sectPr w:rsidR="006444B0" w:rsidRPr="006444B0">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C2A3" w14:textId="77777777" w:rsidR="005B4924" w:rsidRDefault="005B4924">
      <w:pPr>
        <w:spacing w:after="0" w:line="240" w:lineRule="auto"/>
      </w:pPr>
      <w:r>
        <w:separator/>
      </w:r>
    </w:p>
  </w:endnote>
  <w:endnote w:type="continuationSeparator" w:id="0">
    <w:p w14:paraId="60800584" w14:textId="77777777" w:rsidR="005B4924" w:rsidRDefault="005B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806C" w14:textId="77777777" w:rsidR="005B4924" w:rsidRDefault="005B4924">
      <w:pPr>
        <w:spacing w:after="0" w:line="240" w:lineRule="auto"/>
      </w:pPr>
      <w:r>
        <w:separator/>
      </w:r>
    </w:p>
  </w:footnote>
  <w:footnote w:type="continuationSeparator" w:id="0">
    <w:p w14:paraId="73BE42F8" w14:textId="77777777" w:rsidR="005B4924" w:rsidRDefault="005B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127458"/>
      <w:docPartObj>
        <w:docPartGallery w:val="Page Numbers (Top of Page)"/>
        <w:docPartUnique/>
      </w:docPartObj>
    </w:sdtPr>
    <w:sdtEndPr>
      <w:rPr>
        <w:noProof/>
      </w:rPr>
    </w:sdtEndPr>
    <w:sdtContent>
      <w:p w14:paraId="2857DEAF" w14:textId="77777777" w:rsidR="005A50F3"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06AE1A" w14:textId="77777777" w:rsidR="005A50F3" w:rsidRDefault="005A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21C"/>
    <w:multiLevelType w:val="multilevel"/>
    <w:tmpl w:val="D01410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E22A5"/>
    <w:multiLevelType w:val="multilevel"/>
    <w:tmpl w:val="98464A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C0C0F"/>
    <w:multiLevelType w:val="multilevel"/>
    <w:tmpl w:val="B1B89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B4F0A"/>
    <w:multiLevelType w:val="multilevel"/>
    <w:tmpl w:val="D38A08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516EE"/>
    <w:multiLevelType w:val="multilevel"/>
    <w:tmpl w:val="9BD82D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14BFC"/>
    <w:multiLevelType w:val="multilevel"/>
    <w:tmpl w:val="876E2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147054"/>
    <w:multiLevelType w:val="multilevel"/>
    <w:tmpl w:val="2918D6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9772A"/>
    <w:multiLevelType w:val="multilevel"/>
    <w:tmpl w:val="BBCAA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224F5F"/>
    <w:multiLevelType w:val="multilevel"/>
    <w:tmpl w:val="5CD6E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45CA3"/>
    <w:multiLevelType w:val="multilevel"/>
    <w:tmpl w:val="62FAA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74343"/>
    <w:multiLevelType w:val="multilevel"/>
    <w:tmpl w:val="635ADA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790924">
    <w:abstractNumId w:val="5"/>
  </w:num>
  <w:num w:numId="2" w16cid:durableId="2064670792">
    <w:abstractNumId w:val="7"/>
  </w:num>
  <w:num w:numId="3" w16cid:durableId="1909724041">
    <w:abstractNumId w:val="0"/>
  </w:num>
  <w:num w:numId="4" w16cid:durableId="946473219">
    <w:abstractNumId w:val="2"/>
  </w:num>
  <w:num w:numId="5" w16cid:durableId="1022778547">
    <w:abstractNumId w:val="9"/>
  </w:num>
  <w:num w:numId="6" w16cid:durableId="416560092">
    <w:abstractNumId w:val="1"/>
  </w:num>
  <w:num w:numId="7" w16cid:durableId="2023780461">
    <w:abstractNumId w:val="6"/>
  </w:num>
  <w:num w:numId="8" w16cid:durableId="1554996632">
    <w:abstractNumId w:val="8"/>
  </w:num>
  <w:num w:numId="9" w16cid:durableId="1772243469">
    <w:abstractNumId w:val="10"/>
  </w:num>
  <w:num w:numId="10" w16cid:durableId="514345999">
    <w:abstractNumId w:val="4"/>
  </w:num>
  <w:num w:numId="11" w16cid:durableId="1024331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F3"/>
    <w:rsid w:val="00004CDA"/>
    <w:rsid w:val="000148D0"/>
    <w:rsid w:val="00043584"/>
    <w:rsid w:val="000761B9"/>
    <w:rsid w:val="00095858"/>
    <w:rsid w:val="000D7D26"/>
    <w:rsid w:val="001220B9"/>
    <w:rsid w:val="00122C62"/>
    <w:rsid w:val="00182D20"/>
    <w:rsid w:val="001D0D66"/>
    <w:rsid w:val="00310235"/>
    <w:rsid w:val="00312B78"/>
    <w:rsid w:val="00334431"/>
    <w:rsid w:val="00351AC8"/>
    <w:rsid w:val="0035371F"/>
    <w:rsid w:val="003759E9"/>
    <w:rsid w:val="00385E96"/>
    <w:rsid w:val="003B35CD"/>
    <w:rsid w:val="0042107E"/>
    <w:rsid w:val="00460A07"/>
    <w:rsid w:val="00493F6C"/>
    <w:rsid w:val="004B46DC"/>
    <w:rsid w:val="004B5044"/>
    <w:rsid w:val="005226B5"/>
    <w:rsid w:val="00584244"/>
    <w:rsid w:val="0059618A"/>
    <w:rsid w:val="005A50F3"/>
    <w:rsid w:val="005B404D"/>
    <w:rsid w:val="005B4924"/>
    <w:rsid w:val="005B754F"/>
    <w:rsid w:val="00603633"/>
    <w:rsid w:val="00620C48"/>
    <w:rsid w:val="00643340"/>
    <w:rsid w:val="006444B0"/>
    <w:rsid w:val="006456EB"/>
    <w:rsid w:val="006D30EF"/>
    <w:rsid w:val="0072038B"/>
    <w:rsid w:val="00742898"/>
    <w:rsid w:val="0074343B"/>
    <w:rsid w:val="00756BDB"/>
    <w:rsid w:val="007907C8"/>
    <w:rsid w:val="007D5FF8"/>
    <w:rsid w:val="007D613A"/>
    <w:rsid w:val="007F5291"/>
    <w:rsid w:val="00814187"/>
    <w:rsid w:val="008A53D8"/>
    <w:rsid w:val="008D4DBA"/>
    <w:rsid w:val="008E7230"/>
    <w:rsid w:val="00904BA6"/>
    <w:rsid w:val="00906BB6"/>
    <w:rsid w:val="00912279"/>
    <w:rsid w:val="009214A0"/>
    <w:rsid w:val="00963EED"/>
    <w:rsid w:val="009740AE"/>
    <w:rsid w:val="009D74D6"/>
    <w:rsid w:val="009E5E6B"/>
    <w:rsid w:val="00A05B97"/>
    <w:rsid w:val="00A66F5A"/>
    <w:rsid w:val="00A70DE7"/>
    <w:rsid w:val="00B33A61"/>
    <w:rsid w:val="00B604E3"/>
    <w:rsid w:val="00B91161"/>
    <w:rsid w:val="00BB0A67"/>
    <w:rsid w:val="00BE1560"/>
    <w:rsid w:val="00BE187D"/>
    <w:rsid w:val="00C5075F"/>
    <w:rsid w:val="00C51C2D"/>
    <w:rsid w:val="00C66E08"/>
    <w:rsid w:val="00D13606"/>
    <w:rsid w:val="00D33C30"/>
    <w:rsid w:val="00D952BA"/>
    <w:rsid w:val="00DA3C18"/>
    <w:rsid w:val="00DA6CBA"/>
    <w:rsid w:val="00DE3E2B"/>
    <w:rsid w:val="00DF338C"/>
    <w:rsid w:val="00E12704"/>
    <w:rsid w:val="00E15834"/>
    <w:rsid w:val="00E41227"/>
    <w:rsid w:val="00E426CF"/>
    <w:rsid w:val="00E823A0"/>
    <w:rsid w:val="00E8312A"/>
    <w:rsid w:val="00EE07AF"/>
    <w:rsid w:val="00EE76A9"/>
    <w:rsid w:val="00F00527"/>
    <w:rsid w:val="00F0513D"/>
    <w:rsid w:val="00F10954"/>
    <w:rsid w:val="00F43FD3"/>
    <w:rsid w:val="00F81B2C"/>
    <w:rsid w:val="00F94473"/>
    <w:rsid w:val="00FD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5767"/>
  <w15:chartTrackingRefBased/>
  <w15:docId w15:val="{5B71B35C-FDB0-4093-AA0E-7332DEA8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270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D7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0F3"/>
  </w:style>
  <w:style w:type="paragraph" w:styleId="Footer">
    <w:name w:val="footer"/>
    <w:basedOn w:val="Normal"/>
    <w:link w:val="FooterChar"/>
    <w:uiPriority w:val="99"/>
    <w:unhideWhenUsed/>
    <w:rsid w:val="005A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F3"/>
  </w:style>
  <w:style w:type="paragraph" w:styleId="NormalWeb">
    <w:name w:val="Normal (Web)"/>
    <w:basedOn w:val="Normal"/>
    <w:uiPriority w:val="99"/>
    <w:unhideWhenUsed/>
    <w:rsid w:val="005961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9618A"/>
    <w:rPr>
      <w:i/>
      <w:iCs/>
    </w:rPr>
  </w:style>
  <w:style w:type="character" w:styleId="Hyperlink">
    <w:name w:val="Hyperlink"/>
    <w:basedOn w:val="DefaultParagraphFont"/>
    <w:uiPriority w:val="99"/>
    <w:unhideWhenUsed/>
    <w:rsid w:val="0059618A"/>
    <w:rPr>
      <w:color w:val="0000FF"/>
      <w:u w:val="single"/>
    </w:rPr>
  </w:style>
  <w:style w:type="character" w:styleId="Strong">
    <w:name w:val="Strong"/>
    <w:basedOn w:val="DefaultParagraphFont"/>
    <w:uiPriority w:val="22"/>
    <w:qFormat/>
    <w:rsid w:val="0059618A"/>
    <w:rPr>
      <w:b/>
      <w:bCs/>
    </w:rPr>
  </w:style>
  <w:style w:type="character" w:customStyle="1" w:styleId="Heading1Char">
    <w:name w:val="Heading 1 Char"/>
    <w:basedOn w:val="DefaultParagraphFont"/>
    <w:link w:val="Heading1"/>
    <w:uiPriority w:val="9"/>
    <w:rsid w:val="00E12704"/>
    <w:rPr>
      <w:rFonts w:ascii="Times New Roman" w:eastAsia="Times New Roman" w:hAnsi="Times New Roman" w:cs="Times New Roman"/>
      <w:b/>
      <w:bCs/>
      <w:kern w:val="36"/>
      <w:sz w:val="48"/>
      <w:szCs w:val="48"/>
      <w14:ligatures w14:val="none"/>
    </w:rPr>
  </w:style>
  <w:style w:type="character" w:styleId="UnresolvedMention">
    <w:name w:val="Unresolved Mention"/>
    <w:basedOn w:val="DefaultParagraphFont"/>
    <w:uiPriority w:val="99"/>
    <w:semiHidden/>
    <w:unhideWhenUsed/>
    <w:rsid w:val="00E12704"/>
    <w:rPr>
      <w:color w:val="605E5C"/>
      <w:shd w:val="clear" w:color="auto" w:fill="E1DFDD"/>
    </w:rPr>
  </w:style>
  <w:style w:type="character" w:customStyle="1" w:styleId="Heading2Char">
    <w:name w:val="Heading 2 Char"/>
    <w:basedOn w:val="DefaultParagraphFont"/>
    <w:link w:val="Heading2"/>
    <w:uiPriority w:val="9"/>
    <w:semiHidden/>
    <w:rsid w:val="009D74D6"/>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BE1560"/>
  </w:style>
  <w:style w:type="character" w:customStyle="1" w:styleId="bkciteavail">
    <w:name w:val="bk_cite_avail"/>
    <w:basedOn w:val="DefaultParagraphFont"/>
    <w:rsid w:val="00F43FD3"/>
  </w:style>
  <w:style w:type="character" w:styleId="FollowedHyperlink">
    <w:name w:val="FollowedHyperlink"/>
    <w:basedOn w:val="DefaultParagraphFont"/>
    <w:uiPriority w:val="99"/>
    <w:semiHidden/>
    <w:unhideWhenUsed/>
    <w:rsid w:val="00C51C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13-021-07212-7" TargetMode="External"/><Relationship Id="rId13" Type="http://schemas.openxmlformats.org/officeDocument/2006/relationships/hyperlink" Target="https://doi.org/10.1016/S2214-109X(18)30386-3" TargetMode="External"/><Relationship Id="rId18" Type="http://schemas.openxmlformats.org/officeDocument/2006/relationships/hyperlink" Target="https://doi.org/10.1016/j.onehlt.2018.100080" TargetMode="External"/><Relationship Id="rId3" Type="http://schemas.openxmlformats.org/officeDocument/2006/relationships/settings" Target="settings.xml"/><Relationship Id="rId21" Type="http://schemas.openxmlformats.org/officeDocument/2006/relationships/hyperlink" Target="https://www.emro.who.int/about-who/public-health-functions/health-promotion-disease-prevention.html" TargetMode="External"/><Relationship Id="rId7" Type="http://schemas.openxmlformats.org/officeDocument/2006/relationships/hyperlink" Target="https://doi.org/10.1080/16549716.2019.1609313" TargetMode="External"/><Relationship Id="rId12" Type="http://schemas.openxmlformats.org/officeDocument/2006/relationships/hyperlink" Target="https://doi.org/10.1186/s12913-023-09841-6" TargetMode="External"/><Relationship Id="rId17" Type="http://schemas.openxmlformats.org/officeDocument/2006/relationships/hyperlink" Target="https://doi.org/10.1377/hlthaff.2020.01560" TargetMode="External"/><Relationship Id="rId2" Type="http://schemas.openxmlformats.org/officeDocument/2006/relationships/styles" Target="styles.xml"/><Relationship Id="rId16" Type="http://schemas.openxmlformats.org/officeDocument/2006/relationships/hyperlink" Target="https://doi.org/10.1002/hsr2.1024" TargetMode="External"/><Relationship Id="rId20" Type="http://schemas.openxmlformats.org/officeDocument/2006/relationships/hyperlink" Target="https://www.graham-center.org/content/dam/rgc/documents/publications-reports/reports/PrimaryCareChartbook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care.gov/glossary/preventive-servic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pcd/issues/2019/18_0625.htm" TargetMode="External"/><Relationship Id="rId23" Type="http://schemas.openxmlformats.org/officeDocument/2006/relationships/fontTable" Target="fontTable.xml"/><Relationship Id="rId10" Type="http://schemas.openxmlformats.org/officeDocument/2006/relationships/hyperlink" Target="https://doi.org/10.1371/journal.pone.0218426" TargetMode="External"/><Relationship Id="rId19" Type="http://schemas.openxmlformats.org/officeDocument/2006/relationships/hyperlink" Target="https://www.health.org.uk/topics/acute-care" TargetMode="External"/><Relationship Id="rId4" Type="http://schemas.openxmlformats.org/officeDocument/2006/relationships/webSettings" Target="webSettings.xml"/><Relationship Id="rId9" Type="http://schemas.openxmlformats.org/officeDocument/2006/relationships/hyperlink" Target="https://assets.publishing.service.gov.uk/media/5be00437e5274a6e174bdac1/Prevention_is_better_than_cure_5-11.pdf" TargetMode="External"/><Relationship Id="rId14" Type="http://schemas.openxmlformats.org/officeDocument/2006/relationships/hyperlink" Target="https://healthcaremba.gwu.edu/blog/what-is-preventive-healthcar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mugo</dc:creator>
  <cp:lastModifiedBy>joy mugo</cp:lastModifiedBy>
  <cp:revision>2</cp:revision>
  <dcterms:created xsi:type="dcterms:W3CDTF">2023-11-22T16:26:00Z</dcterms:created>
  <dcterms:modified xsi:type="dcterms:W3CDTF">2023-11-22T16:26:00Z</dcterms:modified>
</cp:coreProperties>
</file>