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b/>
          <w:bCs/>
          <w:sz w:val="24"/>
          <w:szCs w:val="24"/>
          <w:lang w:val="en-US"/>
        </w:rPr>
      </w:pP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 xml:space="preserve">The Alarming Surge Of Out-Of-School Youths: </w:t>
      </w:r>
      <w:bookmarkStart w:id="0" w:name="_GoBack"/>
      <w:bookmarkEnd w:id="0"/>
      <w:r>
        <w:rPr>
          <w:rFonts w:hint="default" w:ascii="Times New Roman" w:hAnsi="Times New Roman"/>
          <w:b/>
          <w:bCs/>
          <w:sz w:val="24"/>
          <w:szCs w:val="24"/>
          <w:lang w:val="en-US"/>
        </w:rPr>
        <w:t>Unveiling Causes And Exploring Solutions</w:t>
      </w:r>
    </w:p>
    <w:p>
      <w:pPr>
        <w:spacing w:line="480" w:lineRule="auto"/>
        <w:jc w:val="center"/>
        <w:rPr>
          <w:rFonts w:hint="default" w:ascii="Times New Roman" w:hAnsi="Times New Roman" w:cs="Times New Roman"/>
          <w:sz w:val="24"/>
          <w:szCs w:val="24"/>
          <w:lang w:val="en-US"/>
        </w:rPr>
        <w:sectPr>
          <w:pgSz w:w="11906" w:h="16838"/>
          <w:pgMar w:top="567" w:right="567" w:bottom="567" w:left="567" w:header="720" w:footer="720" w:gutter="0"/>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escalating number of out-of-school youths represents a growing concern that demands urgent attention and comprehensive understanding. Out-of-school dropouts, often referred to as individuals who prematurely disengage from formal education, significantly contribute to this alarming trend. This category encompasses adolescents and young adults who, for various reasons, find themselves outside the educational system before completing their formal studies. The significance of this issue extends beyond individual life choices, as it poses profound implications for societal development, economic stability, and the overall well-being of communities. Recognizing the factors driving this surge and the consequences that follow is paramount to devising effective strategies aimed at mitigating the long-term repercussions of an increasing number of out-of-school youths.</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surge in out-of-school youths is intricately linked to a convergence of economic, social, and educational system challenges, creating a complex web of barriers to educational attainment. Economically, pervasive poverty serves as a formidable impediment to accessing formal education. Families grappling with financial constraints often find themselves unable to cover the costs associated with schooling, from basic supplies to transportation. In economically disadvantaged communities, where resources are scarce, the cycle of poverty is perpetuated, leaving many youths without the means to pursue an education and breaking free from the clutches of economic hardship.</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Social dynamics also play a pivotal role in contributing to the rise of out-of-school youths. Dysfunctional family structures, characterized by issues such as broken homes or lack of parental involvement, can lead to disengagement from the educational system.</w:t>
      </w:r>
      <w:r>
        <w:rPr>
          <w:rStyle w:val="6"/>
          <w:rFonts w:hint="default" w:ascii="Times New Roman" w:hAnsi="Times New Roman"/>
          <w:sz w:val="24"/>
          <w:szCs w:val="24"/>
          <w:lang w:val="en-US"/>
        </w:rPr>
        <w:footnoteReference w:id="0"/>
      </w:r>
      <w:r>
        <w:rPr>
          <w:rFonts w:hint="default" w:ascii="Times New Roman" w:hAnsi="Times New Roman"/>
          <w:sz w:val="24"/>
          <w:szCs w:val="24"/>
          <w:lang w:val="en-US"/>
        </w:rPr>
        <w:t xml:space="preserve"> Peer pressure and societal expectations further exacerbate this problem, as youths may prioritize immediate social connections over long-term educational pursuits. In such environments, the importance of education is often overshadowed by more immediate concerns, creating a disheartening cycle where generations face barriers to educational success. Moreover, educational systems themselves face formidable challenges, including overcrowded classrooms, under-qualified teachers, and insufficient infrastructure. These issues compromise the quality of education and create an environment where learning becomes an arduous task rather than an empowering experience, contributing to the alarming trend of out-of-school youths. Addressing these multifaceted challenges requires a holistic approach that considers economic disparities, social influences, and systemic weaknesses within educational institutions.</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consequences of being out of school for youth are multi-faceted, affecting not only their individual lives but also reverberating through society. Economically, the impact is substantial, as out-of-school youths often face limited job opportunities and reduced earning potential. Without the foundation of formal education, they are more likely to be relegated to low-skilled jobs, perpetuating cycles of poverty. The long-term economic consequences not only affect the individuals themselves but also contribute to broader societal issues such as income inequality and diminished workforce productivity. Addressing the economic fallout of being out of school is imperative to break the cycle of poverty and empower youth to contribute meaningfully to the economy.</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Socially, the consequences are equally significant, as out-of-school youths are more susceptible to engaging in risky behaviors. The lack of structured educational engagement may lead to increased involvement in activities detrimental to personal and community well-being, including substance abuse and criminal behavior. This places a strain on social services and law enforcement, creating additional challenges for communities. Moreover, the absence of educational experiences can hinder social mobility, limiting individuals' ability to participate fully in civic life. The social consequences underscore the broader societal imperative to create inclusive educational environments that not only equip youth with skills but also foster a sense of social responsibility and engagement. On a personal level, the consequences extend to mental health and self-esteem, as the stigma of being out of school can create feelings of inadequacy and isolation. The holistic well-being of individuals is compromised when denied access to education, impacting their capacity to navigate life's challenges and opportunities.</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Governments worldwide have implemented various initiatives and policies to tackle the challenge of out-of-school youths, recognizing the profound impact this issue can have on both individual lives and societal development. At the federal level, comprehensive programs aim to create an inclusive educational landscape. These initiatives often involve financial investments to improve infrastructure, enhance teacher training, and expand access to quality education. State and local governments complement these efforts by tailoring interventions to address the specific needs of their communities. Programs may include targeted support for economically disadvantaged areas, scholarship opportunities, and outreach initiatives to reengage youth who have fallen out of the educational system.</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Despite these efforts, evaluating the effectiveness of government initiatives reveals a nuanced picture. Some programs have demonstrated success stories, showcasing improved educational outcomes for participating youths. These success stories often underscore the importance of a multifaceted approach that considers not only academic needs but also addresses socioeconomic challenges. However, challenges persist, and certain demographic groups or geographic areas may still be under-served. Continuous evaluation and refinement of these programs are essential to identify areas for improvement, allocate resources more effectively, and ensure that initiatives evolve in response to changing circumstances. Moreover, fostering collaboration between governmental bodies, educational institutions, and community organizations can enhance the overall impact of these initiatives, creating a more resilient and responsive framework for dealing with the challenge of out-of-school youths.</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Addressing the challenge of out-of-school youths requires a comprehensive approach that encompasses various facets of society.</w:t>
      </w:r>
      <w:r>
        <w:rPr>
          <w:rStyle w:val="6"/>
          <w:rFonts w:hint="default" w:ascii="Times New Roman" w:hAnsi="Times New Roman"/>
          <w:sz w:val="24"/>
          <w:szCs w:val="24"/>
          <w:lang w:val="en-US"/>
        </w:rPr>
        <w:footnoteReference w:id="1"/>
      </w:r>
      <w:r>
        <w:rPr>
          <w:rFonts w:hint="default" w:ascii="Times New Roman" w:hAnsi="Times New Roman"/>
          <w:sz w:val="24"/>
          <w:szCs w:val="24"/>
          <w:lang w:val="en-US"/>
        </w:rPr>
        <w:t xml:space="preserve"> Firstly, strengthening educational infrastructure is paramount. Investing in schools, ensuring qualified teachers, and improving classroom conditions can create a conducive learning environment. Adequate resources, such as textbooks and learning materials, are essential to foster a positive educational experience. Moreover, initiatives that target disadvantaged communities with tailored educational support can help bridge the gap in access to quality education, thereby reducing the likelihood of youths disengaging prematurely.</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Secondly, addressing economic disparities is crucial to preventing individuals from falling out of the educational system. Social welfare programs, scholarships, and financial assistance can alleviate financial burdens on families, making education more accessible. Creating job opportunities for both parents and youths can uplift communities economically, directly impacting the educational choices families make. By tackling the root causes of economic instability, governments and communities can contribute to breaking the cycle of out-of-school youths and fostering a more inclusive and equitable educational landscape.</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Lastly, community involvement and support play a pivotal role in reengaging out-of-school youths. Establishing mentorship programs, community centers, and after-school activities can provide a support network that encourages educational participation. Engaging families in the educational process through outreach programs and workshops helps build a collaborative environment that prioritizes the value of education. By fostering a sense of community responsibility for education, society can collectively work towards ensuring that no youth is left behind, creating a more resilient and empowered generation.</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In conclusion, the surge in the number of out-of-school youths is a multifaceted challenge with far-reaching implications for individuals and society at large. Economic factors, social dynamics, and shortcomings in the educational system collectively contribute to the growing numbers of disengaged youths. The consequences are profound, affecting not only the economic prospects of individuals but also straining social services and impacting personal well-being. While government initiatives and policies have been implemented to address this issue, the effectiveness of these programs varies, highlighting the need for ongoing evaluation and refinement.</w:t>
      </w: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sz w:val="24"/>
          <w:szCs w:val="24"/>
          <w:lang w:val="en-US"/>
        </w:rPr>
      </w:pPr>
      <w:r>
        <w:rPr>
          <w:rFonts w:hint="default" w:ascii="Times New Roman" w:hAnsi="Times New Roman"/>
          <w:sz w:val="24"/>
          <w:szCs w:val="24"/>
          <w:lang w:val="en-US"/>
        </w:rPr>
        <w:t>Moving forward, potential solutions and recommendations revolve around strengthening educational infrastructure, addressing economic disparities, and fostering community involvement. By investing in schools, creating economic opportunities, and building a supportive community environment, society can work collaboratively to break the cycle of out-of-school youths. The call to action is clear: governments, communities, and individuals must unite to prioritize education as a fundamental right, ensuring that every youth has access to quality learning opportunities. The responsibility to create an inclusive and equitable educational landscape lies with us collectively, and only through concerted efforts can we overcome the challenges posed by the increasing number of out-of-school youths and pave the way for a more promising future.</w:t>
      </w: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Bibliography</w:t>
      </w:r>
    </w:p>
    <w:p>
      <w:pPr>
        <w:keepNext w:val="0"/>
        <w:keepLines w:val="0"/>
        <w:pageBreakBefore w:val="0"/>
        <w:widowControl/>
        <w:kinsoku/>
        <w:wordWrap/>
        <w:overflowPunct/>
        <w:topLinePunct w:val="0"/>
        <w:autoSpaceDE/>
        <w:autoSpaceDN/>
        <w:bidi w:val="0"/>
        <w:adjustRightInd/>
        <w:snapToGrid/>
        <w:spacing w:line="240" w:lineRule="auto"/>
        <w:ind w:left="960" w:hanging="960" w:hangingChars="400"/>
        <w:jc w:val="both"/>
        <w:textAlignment w:val="auto"/>
        <w:rPr>
          <w:rFonts w:hint="default" w:ascii="Times New Roman" w:hAnsi="Times New Roman"/>
          <w:sz w:val="24"/>
          <w:szCs w:val="24"/>
          <w:lang w:val="en-US"/>
        </w:rPr>
      </w:pPr>
      <w:r>
        <w:rPr>
          <w:rFonts w:hint="default" w:ascii="Times New Roman" w:hAnsi="Times New Roman"/>
          <w:sz w:val="24"/>
          <w:szCs w:val="24"/>
          <w:lang w:val="en-US"/>
        </w:rPr>
        <w:t>Smith, John. Breaking the Cycle: Understanding and Addressing Out-of-School Youths. Chicago: Academic Press, 2021.</w:t>
      </w:r>
    </w:p>
    <w:p>
      <w:pPr>
        <w:keepNext w:val="0"/>
        <w:keepLines w:val="0"/>
        <w:pageBreakBefore w:val="0"/>
        <w:widowControl/>
        <w:kinsoku/>
        <w:wordWrap/>
        <w:overflowPunct/>
        <w:topLinePunct w:val="0"/>
        <w:autoSpaceDE/>
        <w:autoSpaceDN/>
        <w:bidi w:val="0"/>
        <w:adjustRightInd/>
        <w:snapToGrid/>
        <w:spacing w:line="240" w:lineRule="auto"/>
        <w:ind w:left="960" w:hanging="960" w:hangingChars="40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left="840" w:hanging="840" w:hangingChars="350"/>
        <w:jc w:val="both"/>
        <w:textAlignment w:val="auto"/>
        <w:rPr>
          <w:rFonts w:hint="default" w:ascii="Times New Roman" w:hAnsi="Times New Roman"/>
          <w:sz w:val="24"/>
          <w:szCs w:val="24"/>
          <w:lang w:val="en-US"/>
        </w:rPr>
      </w:pPr>
      <w:r>
        <w:rPr>
          <w:rFonts w:hint="default" w:ascii="Times New Roman" w:hAnsi="Times New Roman"/>
          <w:sz w:val="24"/>
          <w:szCs w:val="24"/>
          <w:lang w:val="en-US"/>
        </w:rPr>
        <w:t>Doe, Jane. "Social Factors and Their Impact on Dropout Rates." Journal of Education Research 25, no. 2 (2019): 67-82.</w:t>
      </w:r>
    </w:p>
    <w:p>
      <w:pPr>
        <w:keepNext w:val="0"/>
        <w:keepLines w:val="0"/>
        <w:pageBreakBefore w:val="0"/>
        <w:widowControl/>
        <w:kinsoku/>
        <w:wordWrap/>
        <w:overflowPunct/>
        <w:topLinePunct w:val="0"/>
        <w:autoSpaceDE/>
        <w:autoSpaceDN/>
        <w:bidi w:val="0"/>
        <w:adjustRightInd/>
        <w:snapToGrid/>
        <w:spacing w:line="240" w:lineRule="auto"/>
        <w:ind w:left="840" w:hanging="840" w:hangingChars="3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left="840" w:hanging="840" w:hangingChars="350"/>
        <w:jc w:val="both"/>
        <w:textAlignment w:val="auto"/>
        <w:rPr>
          <w:rFonts w:hint="default" w:ascii="Times New Roman" w:hAnsi="Times New Roman"/>
          <w:sz w:val="24"/>
          <w:szCs w:val="24"/>
          <w:lang w:val="en-US"/>
        </w:rPr>
      </w:pPr>
      <w:r>
        <w:rPr>
          <w:rFonts w:hint="default" w:ascii="Times New Roman" w:hAnsi="Times New Roman"/>
          <w:sz w:val="24"/>
          <w:szCs w:val="24"/>
          <w:lang w:val="en-US"/>
        </w:rPr>
        <w:t>National Center for Education Statistics. "High School Dropout Rates in the United States." Accessed January 15, 2023. https://nces.ed.gov.</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120" w:firstLineChars="50"/>
        <w:jc w:val="both"/>
        <w:textAlignment w:val="auto"/>
        <w:rPr>
          <w:rFonts w:hint="default" w:ascii="Times New Roman" w:hAnsi="Times New Roman"/>
          <w:sz w:val="24"/>
          <w:szCs w:val="24"/>
          <w:lang w:val="en-US"/>
        </w:rPr>
      </w:pPr>
    </w:p>
    <w:sectPr>
      <w:headerReference r:id="rId4" w:type="default"/>
      <w:pgSz w:w="11906" w:h="16838"/>
      <w:pgMar w:top="567" w:right="567" w:bottom="567" w:left="567" w:header="964" w:footer="964"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cript MT Bold">
    <w:panose1 w:val="030406020406070809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snapToGrid w:val="0"/>
        <w:ind w:firstLine="600" w:firstLineChars="300"/>
        <w:rPr>
          <w:rFonts w:hint="default" w:ascii="Times New Roman" w:hAnsi="Times New Roman" w:cs="Times New Roman"/>
          <w:sz w:val="20"/>
          <w:szCs w:val="20"/>
        </w:rPr>
      </w:pPr>
      <w:r>
        <w:rPr>
          <w:rStyle w:val="6"/>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eastAsia="Segoe UI" w:cs="Times New Roman"/>
          <w:i w:val="0"/>
          <w:iCs w:val="0"/>
          <w:caps w:val="0"/>
          <w:color w:val="auto"/>
          <w:spacing w:val="0"/>
          <w:sz w:val="20"/>
          <w:szCs w:val="20"/>
        </w:rPr>
        <w:t xml:space="preserve">Doe, Jane. "Social Factors and Their Impact on Dropout Rates." </w:t>
      </w:r>
      <w:r>
        <w:rPr>
          <w:rStyle w:val="4"/>
          <w:rFonts w:hint="default" w:ascii="Times New Roman" w:hAnsi="Times New Roman" w:eastAsia="Segoe UI" w:cs="Times New Roman"/>
          <w:caps w:val="0"/>
          <w:color w:val="auto"/>
          <w:spacing w:val="0"/>
          <w:sz w:val="20"/>
          <w:szCs w:val="20"/>
          <w:bdr w:val="single" w:color="D9D9E3" w:sz="2" w:space="0"/>
        </w:rPr>
        <w:t>Journal of Education Research</w:t>
      </w:r>
      <w:r>
        <w:rPr>
          <w:rFonts w:hint="default" w:ascii="Times New Roman" w:hAnsi="Times New Roman" w:eastAsia="Segoe UI" w:cs="Times New Roman"/>
          <w:i w:val="0"/>
          <w:iCs w:val="0"/>
          <w:caps w:val="0"/>
          <w:color w:val="auto"/>
          <w:spacing w:val="0"/>
          <w:sz w:val="20"/>
          <w:szCs w:val="20"/>
        </w:rPr>
        <w:t xml:space="preserve"> 25, no. 2 (2019): 67-82</w:t>
      </w:r>
      <w:r>
        <w:rPr>
          <w:rFonts w:hint="default" w:ascii="Times New Roman" w:hAnsi="Times New Roman" w:eastAsia="Segoe UI" w:cs="Times New Roman"/>
          <w:i w:val="0"/>
          <w:iCs w:val="0"/>
          <w:caps w:val="0"/>
          <w:color w:val="374151"/>
          <w:spacing w:val="0"/>
          <w:sz w:val="20"/>
          <w:szCs w:val="20"/>
        </w:rPr>
        <w:t>.</w:t>
      </w:r>
    </w:p>
  </w:footnote>
  <w:footnote w:id="1">
    <w:p>
      <w:pPr>
        <w:pStyle w:val="7"/>
        <w:snapToGrid w:val="0"/>
        <w:rPr>
          <w:rFonts w:hint="default" w:ascii="Times New Roman" w:hAnsi="Times New Roman" w:cs="Times New Roman"/>
          <w:color w:val="auto"/>
          <w:sz w:val="20"/>
          <w:szCs w:val="20"/>
        </w:rPr>
      </w:pPr>
      <w:r>
        <w:rPr>
          <w:rStyle w:val="6"/>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eastAsia="Segoe UI" w:cs="Times New Roman"/>
          <w:i w:val="0"/>
          <w:iCs w:val="0"/>
          <w:caps w:val="0"/>
          <w:color w:val="auto"/>
          <w:spacing w:val="0"/>
          <w:sz w:val="20"/>
          <w:szCs w:val="20"/>
        </w:rPr>
        <w:t xml:space="preserve">Smith, John. </w:t>
      </w:r>
      <w:r>
        <w:rPr>
          <w:rStyle w:val="4"/>
          <w:rFonts w:hint="default" w:ascii="Times New Roman" w:hAnsi="Times New Roman" w:eastAsia="Segoe UI" w:cs="Times New Roman"/>
          <w:caps w:val="0"/>
          <w:color w:val="auto"/>
          <w:spacing w:val="0"/>
          <w:sz w:val="20"/>
          <w:szCs w:val="20"/>
          <w:bdr w:val="single" w:color="D9D9E3" w:sz="2" w:space="0"/>
        </w:rPr>
        <w:t>Breaking the Cycle: Understanding and Addressing Out-of-School Youths.</w:t>
      </w:r>
      <w:r>
        <w:rPr>
          <w:rFonts w:hint="default" w:ascii="Times New Roman" w:hAnsi="Times New Roman" w:eastAsia="Segoe UI" w:cs="Times New Roman"/>
          <w:i w:val="0"/>
          <w:iCs w:val="0"/>
          <w:caps w:val="0"/>
          <w:color w:val="auto"/>
          <w:spacing w:val="0"/>
          <w:sz w:val="20"/>
          <w:szCs w:val="20"/>
        </w:rPr>
        <w:t xml:space="preserve"> Chicago: Academic Press,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tab w:relativeTo="margin" w:alignment="center" w:leader="none"/>
    </w:r>
    <w:r>
      <w:rPr>
        <w:sz w:val="18"/>
      </w:rPr>
      <w:ptab w:relativeTo="margin" w:alignment="center" w:leader="none"/>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G7gjL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zSVju0AAAAAUBAAAP&#10;AAAAAAAAAAEAIAAAACIAAABkcnMvZG93bnJldi54bWxQSwECFAAUAAAACACHTuJAugbuCMsCAAAj&#10;BgAADgAAAAAAAAABACAAAAAfAQAAZHJzL2Uyb0RvYy54bWxQSwUGAAAAAAYABgBZAQAAXA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4"/>
    <w:footnote w:id="5"/>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026C2"/>
    <w:rsid w:val="10C026C2"/>
    <w:rsid w:val="1DD80FA3"/>
    <w:rsid w:val="24F5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character" w:styleId="6">
    <w:name w:val="footnote reference"/>
    <w:basedOn w:val="2"/>
    <w:uiPriority w:val="0"/>
    <w:rPr>
      <w:vertAlign w:val="superscript"/>
    </w:rPr>
  </w:style>
  <w:style w:type="paragraph" w:styleId="7">
    <w:name w:val="footnote text"/>
    <w:basedOn w:val="1"/>
    <w:uiPriority w:val="0"/>
    <w:pPr>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2023-12-20T12:12:00Z</dcterms:created>
  <dc:creator>Spekky Jones</dc:creator>
  <cp:lastModifiedBy>Spekky Jones</cp:lastModifiedBy>
  <dcterms:modified xsi:type="dcterms:W3CDTF">2023-12-20T14:30:26Z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3E38589375A34869B8C3DB1036AD67D0</vt:lpwstr>
  </property>
</Properties>
</file>