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
          <w:bCs/>
          <w:sz w:val="24"/>
          <w:szCs w:val="24"/>
        </w:rPr>
      </w:pPr>
    </w:p>
    <w:p w:rsidR="00BC679A" w:rsidP="005B1606">
      <w:pPr>
        <w:spacing w:line="480" w:lineRule="auto"/>
        <w:contextualSpacing/>
        <w:jc w:val="center"/>
        <w:rPr>
          <w:rFonts w:ascii="Times New Roman" w:hAnsi="Times New Roman" w:cs="Times New Roman"/>
          <w:b/>
          <w:bCs/>
          <w:sz w:val="24"/>
          <w:szCs w:val="24"/>
        </w:rPr>
      </w:pPr>
      <w:r w:rsidRPr="00BC679A">
        <w:rPr>
          <w:rFonts w:ascii="Times New Roman" w:hAnsi="Times New Roman" w:cs="Times New Roman"/>
          <w:b/>
          <w:bCs/>
          <w:sz w:val="24"/>
          <w:szCs w:val="24"/>
        </w:rPr>
        <w:t>Community Educational Project: Promoting Well-being and Health Equity through Healthy People 2030</w:t>
      </w:r>
    </w:p>
    <w:p w:rsidR="005B1606" w:rsidP="005B1606">
      <w:pPr>
        <w:spacing w:line="480" w:lineRule="auto"/>
        <w:contextualSpacing/>
        <w:jc w:val="center"/>
        <w:rPr>
          <w:rFonts w:ascii="Times New Roman" w:hAnsi="Times New Roman" w:cs="Times New Roman"/>
          <w:b/>
          <w:bCs/>
          <w:sz w:val="24"/>
          <w:szCs w:val="24"/>
        </w:rPr>
      </w:pPr>
    </w:p>
    <w:p w:rsidR="005B1606" w:rsidP="005B1606">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Student’s Name</w:t>
      </w:r>
    </w:p>
    <w:p w:rsidR="005B1606" w:rsidP="005B1606">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Institutional Affiliation</w:t>
      </w:r>
    </w:p>
    <w:p w:rsidR="005B1606" w:rsidP="005B1606">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Course</w:t>
      </w:r>
    </w:p>
    <w:p w:rsidR="005B1606" w:rsidP="005B1606">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Instructor’s Name</w:t>
      </w:r>
    </w:p>
    <w:p w:rsidR="005B1606" w:rsidP="005B1606">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Date</w:t>
      </w:r>
    </w:p>
    <w:p w:rsidR="005B1606">
      <w:pPr>
        <w:rPr>
          <w:rFonts w:ascii="Times New Roman" w:hAnsi="Times New Roman" w:cs="Times New Roman"/>
          <w:b/>
          <w:bCs/>
          <w:sz w:val="24"/>
          <w:szCs w:val="24"/>
        </w:rPr>
      </w:pPr>
      <w:r>
        <w:rPr>
          <w:rFonts w:ascii="Times New Roman" w:hAnsi="Times New Roman" w:cs="Times New Roman"/>
          <w:b/>
          <w:bCs/>
          <w:sz w:val="24"/>
          <w:szCs w:val="24"/>
        </w:rPr>
        <w:br w:type="page"/>
      </w:r>
    </w:p>
    <w:p w:rsidR="005B1606" w:rsidRPr="005B1606" w:rsidP="005B1606">
      <w:pPr>
        <w:spacing w:line="480" w:lineRule="auto"/>
        <w:contextualSpacing/>
        <w:jc w:val="center"/>
        <w:rPr>
          <w:rFonts w:ascii="Times New Roman" w:hAnsi="Times New Roman" w:cs="Times New Roman"/>
          <w:sz w:val="24"/>
          <w:szCs w:val="24"/>
        </w:rPr>
      </w:pPr>
      <w:r w:rsidRPr="00BC679A">
        <w:rPr>
          <w:rFonts w:ascii="Times New Roman" w:hAnsi="Times New Roman" w:cs="Times New Roman"/>
          <w:b/>
          <w:bCs/>
          <w:sz w:val="24"/>
          <w:szCs w:val="24"/>
        </w:rPr>
        <w:t>Community Educational Project: Promoting Well-being and Health Equity through Healthy People 2030</w:t>
      </w:r>
    </w:p>
    <w:p w:rsidR="00BC679A" w:rsidP="005B1606">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Introduction</w:t>
      </w:r>
    </w:p>
    <w:p w:rsidR="00BC679A" w:rsidRPr="00BC679A" w:rsidP="005B1606">
      <w:pPr>
        <w:spacing w:line="480" w:lineRule="auto"/>
        <w:ind w:firstLine="720"/>
        <w:contextualSpacing/>
        <w:rPr>
          <w:rFonts w:ascii="Times New Roman" w:hAnsi="Times New Roman" w:cs="Times New Roman"/>
          <w:sz w:val="24"/>
          <w:szCs w:val="24"/>
        </w:rPr>
      </w:pPr>
      <w:r w:rsidRPr="00255DF4">
        <w:rPr>
          <w:rFonts w:ascii="Times New Roman" w:hAnsi="Times New Roman" w:cs="Times New Roman"/>
          <w:sz w:val="24"/>
          <w:szCs w:val="24"/>
        </w:rPr>
        <w:t>This community education initiative seeks to improve well-being and address health inequities within our local community by the ideals outlined by Healthy People 2030. We have created a thorough action plan to promote well-being and enhance health outcomes using the insights from Pronk (2020), Griffith (2021), Ochiai et al. (2021), and Gómez et al. (2021). The two primary objectives of this initiative are to encourage healthy lifestyle choices with Goal A and reduce health disparities with Goal B.</w:t>
      </w:r>
    </w:p>
    <w:p w:rsidR="00FA1825" w:rsidRPr="00FA1825" w:rsidP="005B1606">
      <w:pPr>
        <w:spacing w:line="480" w:lineRule="auto"/>
        <w:contextualSpacing/>
        <w:jc w:val="center"/>
        <w:rPr>
          <w:rFonts w:ascii="Times New Roman" w:hAnsi="Times New Roman" w:cs="Times New Roman"/>
          <w:b/>
          <w:bCs/>
          <w:sz w:val="24"/>
          <w:szCs w:val="24"/>
        </w:rPr>
      </w:pPr>
      <w:r w:rsidRPr="00FA1825">
        <w:rPr>
          <w:rFonts w:ascii="Times New Roman" w:hAnsi="Times New Roman" w:cs="Times New Roman"/>
          <w:b/>
          <w:bCs/>
          <w:sz w:val="24"/>
          <w:szCs w:val="24"/>
        </w:rPr>
        <w:t>Goal A: Encouraging Healthy Lifestyle Choices</w:t>
      </w:r>
    </w:p>
    <w:p w:rsidR="00FA1825" w:rsidRPr="00FA1825"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The significance of encouraging healthy lifestyle choices cannot be overstated in a society where sedentary behaviors and unhealthy eating patterns have become the norm. This section digs into the specifics of Goal A, which is concerned with raising public knowledge of the value of exercise and a healthy diet and offering workable solutions for incorporating these practices into everyday routines.</w:t>
      </w:r>
    </w:p>
    <w:p w:rsidR="00FA1825" w:rsidRPr="00FA1825" w:rsidP="005B1606">
      <w:pPr>
        <w:spacing w:line="480" w:lineRule="auto"/>
        <w:contextualSpacing/>
        <w:rPr>
          <w:rFonts w:ascii="Times New Roman" w:hAnsi="Times New Roman" w:cs="Times New Roman"/>
          <w:b/>
          <w:bCs/>
          <w:sz w:val="24"/>
          <w:szCs w:val="24"/>
        </w:rPr>
      </w:pPr>
      <w:r w:rsidRPr="00FA1825">
        <w:rPr>
          <w:rFonts w:ascii="Times New Roman" w:hAnsi="Times New Roman" w:cs="Times New Roman"/>
          <w:b/>
          <w:bCs/>
          <w:sz w:val="24"/>
          <w:szCs w:val="24"/>
        </w:rPr>
        <w:t>Objective 1: Increase Awareness about the Importance of Physical Activity and Healthy Eating</w:t>
      </w:r>
    </w:p>
    <w:p w:rsidR="00FA1825" w:rsidRPr="00FA1825"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 xml:space="preserve">The idea of encouraging exercise and a healthy diet is quite similar to the guidelines presented in Healthy People 2030. Pronk's (2020) study emphasizes how the growth in chronic illnesses and deteriorated general well-being have been attributed to a lack of knowledge about these lifestyle factors. In order to tackle this, our primary goal is to increase awareness of the critical roles that exercise and a well-balanced diet play in preserving health. Gómez et al. (2021) have provided valuable insights into the role of socioeconomic determinants of health. </w:t>
      </w:r>
      <w:r w:rsidRPr="00255DF4">
        <w:rPr>
          <w:rFonts w:ascii="Times New Roman" w:hAnsi="Times New Roman" w:cs="Times New Roman"/>
          <w:bCs/>
          <w:sz w:val="24"/>
          <w:szCs w:val="24"/>
        </w:rPr>
        <w:t>Specifically, it is essential to acknowledge that differences in the availability of physical activity opportunities and nutrient-dense meals might contribute to the persistence of health disparities. By offering easily accessible education, we hope to close this knowledge gap and allow people to make wise decisions.</w:t>
      </w:r>
    </w:p>
    <w:p w:rsidR="00FA1825" w:rsidRPr="00FA1825" w:rsidP="005B1606">
      <w:pPr>
        <w:spacing w:line="480" w:lineRule="auto"/>
        <w:contextualSpacing/>
        <w:rPr>
          <w:rFonts w:ascii="Times New Roman" w:hAnsi="Times New Roman" w:cs="Times New Roman"/>
          <w:b/>
          <w:bCs/>
          <w:sz w:val="24"/>
          <w:szCs w:val="24"/>
        </w:rPr>
      </w:pPr>
      <w:r w:rsidRPr="00FA1825">
        <w:rPr>
          <w:rFonts w:ascii="Times New Roman" w:hAnsi="Times New Roman" w:cs="Times New Roman"/>
          <w:b/>
          <w:bCs/>
          <w:sz w:val="24"/>
          <w:szCs w:val="24"/>
        </w:rPr>
        <w:t>Objective 2: Provide Practical Strategies for Incorporating Physical Activity and Nutritious Diet into Daily Routines</w:t>
      </w:r>
    </w:p>
    <w:p w:rsidR="00FA1825" w:rsidRPr="00FA1825"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Long-lasting behavioral change needs effective techniques customized to each person's lifestyle, not just information. Griffith (2021) points out that Healthy People 2030 still needs to integrate dimensions of well-being. Our second goal is to provide participants with concrete, individualized strategies for incorporating physical exercise and a healthy diet into their everyday lives in order to address this. As recommended by Pronk (2020), we want to work with regional health experts and educators to create evidence-based guidelines that consider various difficulties and demographics. Ochiai et al. (2021) emphasize the significance of leading health indicators, which fits in nicely with our strategy of giving participants instruments to track their advancement toward better health.</w:t>
      </w:r>
    </w:p>
    <w:p w:rsidR="00FA1825" w:rsidRPr="00FA1825" w:rsidP="005B1606">
      <w:pPr>
        <w:spacing w:line="480" w:lineRule="auto"/>
        <w:contextualSpacing/>
        <w:rPr>
          <w:rFonts w:ascii="Times New Roman" w:hAnsi="Times New Roman" w:cs="Times New Roman"/>
          <w:b/>
          <w:bCs/>
          <w:sz w:val="24"/>
          <w:szCs w:val="24"/>
        </w:rPr>
      </w:pPr>
      <w:r w:rsidRPr="00FA1825">
        <w:rPr>
          <w:rFonts w:ascii="Times New Roman" w:hAnsi="Times New Roman" w:cs="Times New Roman"/>
          <w:b/>
          <w:bCs/>
          <w:sz w:val="24"/>
          <w:szCs w:val="24"/>
        </w:rPr>
        <w:t>Implementation Plan: Community Workshops and Seminars</w:t>
      </w:r>
    </w:p>
    <w:p w:rsidR="00FA1825" w:rsidRPr="00FA1825"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 xml:space="preserve">A thorough six-month implementation strategy has been developed to achieve these goals. In order to provide accessibility for a varied audience, community workshops, and seminars will be held at nearby community organizations and schools. A model for linking Healthy People 2030 with workplace well-being is provided by Pronk's (2020) strategy, which highlights the significance of customizing treatments for particular contexts. As Gómez et al. (2021) recommended, collaboration is the cornerstone of our approach as we work with local educators, health professionals, and community leaders. By addressing possible impediments </w:t>
      </w:r>
      <w:r w:rsidRPr="00255DF4">
        <w:rPr>
          <w:rFonts w:ascii="Times New Roman" w:hAnsi="Times New Roman" w:cs="Times New Roman"/>
          <w:bCs/>
          <w:sz w:val="24"/>
          <w:szCs w:val="24"/>
        </w:rPr>
        <w:t>mentioned by Griffith (2021), this multidisciplinary approach guarantees that the instructional sessions are factual, evidence-based, engaging, and culturally appropriate.</w:t>
      </w:r>
    </w:p>
    <w:p w:rsidR="00FA1825" w:rsidRPr="00FA1825" w:rsidP="005B1606">
      <w:pPr>
        <w:spacing w:line="480" w:lineRule="auto"/>
        <w:contextualSpacing/>
        <w:rPr>
          <w:rFonts w:ascii="Times New Roman" w:hAnsi="Times New Roman" w:cs="Times New Roman"/>
          <w:b/>
          <w:bCs/>
          <w:sz w:val="24"/>
          <w:szCs w:val="24"/>
        </w:rPr>
      </w:pPr>
      <w:r w:rsidRPr="00FA1825">
        <w:rPr>
          <w:rFonts w:ascii="Times New Roman" w:hAnsi="Times New Roman" w:cs="Times New Roman"/>
          <w:b/>
          <w:bCs/>
          <w:sz w:val="24"/>
          <w:szCs w:val="24"/>
        </w:rPr>
        <w:t>Budget Allocation: Enabling Effective Implementation</w:t>
      </w:r>
    </w:p>
    <w:p w:rsidR="00FA1825" w:rsidRPr="00FA1825"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The initiative's $10,000 money has been carefully distributed to guarantee that the workshops and seminars are carried out as planned. This includes costs for renting out a suitable location, excellent teaching resources, snacks to keep attendees interested, and payment to guest speakers. Griffith (2021) emphasizes that Healthy People 2030 must prioritize well-being; this budgetary commitment demonstrates that dedication.</w:t>
      </w:r>
    </w:p>
    <w:p w:rsidR="00FA1825" w:rsidRPr="00FA1825" w:rsidP="005B1606">
      <w:pPr>
        <w:spacing w:line="480" w:lineRule="auto"/>
        <w:contextualSpacing/>
        <w:rPr>
          <w:rFonts w:ascii="Times New Roman" w:hAnsi="Times New Roman" w:cs="Times New Roman"/>
          <w:b/>
          <w:bCs/>
          <w:sz w:val="24"/>
          <w:szCs w:val="24"/>
        </w:rPr>
      </w:pPr>
      <w:r w:rsidRPr="00FA1825">
        <w:rPr>
          <w:rFonts w:ascii="Times New Roman" w:hAnsi="Times New Roman" w:cs="Times New Roman"/>
          <w:b/>
          <w:bCs/>
          <w:sz w:val="24"/>
          <w:szCs w:val="24"/>
        </w:rPr>
        <w:t>Project Justification: Preventing Chronic Diseases and Enhancing Overall Well-being</w:t>
      </w:r>
    </w:p>
    <w:p w:rsidR="00FA1825" w:rsidRPr="00FA1825"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Pronk (2020) has pointed out that a rise in chronic illnesses has resulted from sedentary lifestyles and bad eating habits, which have significantly strained healthcare systems. Consequently, the rationale behind our effort stems from the pressing necessity of providing people with the information and abilities needed to adopt healthy lifestyles. We aim to delay the emergence of chronic illnesses and improve general health by encouraging physical activity and a well-balanced diet.</w:t>
      </w:r>
    </w:p>
    <w:p w:rsidR="00FA1825" w:rsidRPr="00FA1825" w:rsidP="005B1606">
      <w:pPr>
        <w:spacing w:line="480" w:lineRule="auto"/>
        <w:contextualSpacing/>
        <w:rPr>
          <w:rFonts w:ascii="Times New Roman" w:hAnsi="Times New Roman" w:cs="Times New Roman"/>
          <w:b/>
          <w:bCs/>
          <w:sz w:val="24"/>
          <w:szCs w:val="24"/>
        </w:rPr>
      </w:pPr>
      <w:r w:rsidRPr="00FA1825">
        <w:rPr>
          <w:rFonts w:ascii="Times New Roman" w:hAnsi="Times New Roman" w:cs="Times New Roman"/>
          <w:b/>
          <w:bCs/>
          <w:sz w:val="24"/>
          <w:szCs w:val="24"/>
        </w:rPr>
        <w:t>Implementation Details: Timing and Outreach</w:t>
      </w:r>
    </w:p>
    <w:p w:rsidR="00FA1825" w:rsidRPr="00FA1825"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 xml:space="preserve">The project is scheduled to start in January 2024 and last through June 2024. This timetable enables us to interact with the community over a significant amount of time, supporting the development of healthier behaviors. The workshops and seminars will be deliberately arranged on weekends to accommodate participants' busy schedules. This strategy is consistent with Pronk's (2020) proposal to link workplace health to national metrics. Following advice from Ochiai et al. (2021), marketing initiatives will use local media and social platforms to increase outreach. This strategy ensures that a larger group of people see the project's goals and </w:t>
      </w:r>
      <w:r w:rsidRPr="00255DF4">
        <w:rPr>
          <w:rFonts w:ascii="Times New Roman" w:hAnsi="Times New Roman" w:cs="Times New Roman"/>
          <w:bCs/>
          <w:sz w:val="24"/>
          <w:szCs w:val="24"/>
        </w:rPr>
        <w:t>advantages, fostering a culture of well-being that extends beyond the project's lifetime.</w:t>
      </w:r>
    </w:p>
    <w:p w:rsidR="00FA1825" w:rsidRPr="00FA1825" w:rsidP="005B1606">
      <w:pPr>
        <w:spacing w:line="480" w:lineRule="auto"/>
        <w:contextualSpacing/>
        <w:rPr>
          <w:rFonts w:ascii="Times New Roman" w:hAnsi="Times New Roman" w:cs="Times New Roman"/>
          <w:b/>
          <w:bCs/>
          <w:sz w:val="24"/>
          <w:szCs w:val="24"/>
        </w:rPr>
      </w:pPr>
      <w:r w:rsidRPr="00FA1825">
        <w:rPr>
          <w:rFonts w:ascii="Times New Roman" w:hAnsi="Times New Roman" w:cs="Times New Roman"/>
          <w:b/>
          <w:bCs/>
          <w:sz w:val="24"/>
          <w:szCs w:val="24"/>
        </w:rPr>
        <w:t>Teaching Materials: Effective Communication and Engagement</w:t>
      </w:r>
    </w:p>
    <w:p w:rsidR="00BC679A" w:rsidRPr="00FA1825"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The project's success depends on how well the instructional materials work. Our strategy comprises creating various instructional tools while drawing inspiration from Pronk (2020) and Griffith (2021). These consist of educational flyers, graphically appealing presentations, interactive exercises, and materials for takeaways. By Healthy People 2030's comprehensive approach, working with health educators and visual designers ensures that these products are accurate, evidence-based, approachable, and exciting.</w:t>
      </w:r>
    </w:p>
    <w:p w:rsidR="00BC679A" w:rsidP="005B1606">
      <w:pPr>
        <w:spacing w:line="480" w:lineRule="auto"/>
        <w:contextualSpacing/>
        <w:jc w:val="center"/>
        <w:rPr>
          <w:rFonts w:ascii="Times New Roman" w:hAnsi="Times New Roman" w:cs="Times New Roman"/>
          <w:sz w:val="24"/>
          <w:szCs w:val="24"/>
        </w:rPr>
      </w:pPr>
      <w:r w:rsidRPr="00BC679A">
        <w:rPr>
          <w:rFonts w:ascii="Times New Roman" w:hAnsi="Times New Roman" w:cs="Times New Roman"/>
          <w:b/>
          <w:bCs/>
          <w:sz w:val="24"/>
          <w:szCs w:val="24"/>
        </w:rPr>
        <w:t>Goal B: Reducing Health Disparities</w:t>
      </w:r>
    </w:p>
    <w:p w:rsidR="00FA1825" w:rsidRPr="006A7CD2"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According to the papers by Pronk (2020), Griffith (2021), Ochiai et al. (2021), and Gómez et al. (2021) eliminating health inequalities is an important activity that is in line with the fundamental values of Healthy People 2030. This part will further expand the "Reducing Health Disparities" aim, including its objectives, implementation strategy, budgetary allotment, project justification, implementation specifics, and instructional materials.</w:t>
      </w:r>
    </w:p>
    <w:p w:rsidR="006A7CD2" w:rsidRPr="006A7CD2" w:rsidP="005B1606">
      <w:pPr>
        <w:spacing w:line="480" w:lineRule="auto"/>
        <w:contextualSpacing/>
        <w:rPr>
          <w:rFonts w:ascii="Times New Roman" w:hAnsi="Times New Roman" w:cs="Times New Roman"/>
          <w:b/>
          <w:bCs/>
          <w:sz w:val="24"/>
          <w:szCs w:val="24"/>
        </w:rPr>
      </w:pPr>
      <w:r w:rsidRPr="006A7CD2">
        <w:rPr>
          <w:rFonts w:ascii="Times New Roman" w:hAnsi="Times New Roman" w:cs="Times New Roman"/>
          <w:b/>
          <w:bCs/>
          <w:sz w:val="24"/>
          <w:szCs w:val="24"/>
        </w:rPr>
        <w:t>Objective 1: Raise Awareness about Social Determinants of Health an</w:t>
      </w:r>
      <w:r w:rsidRPr="006A7CD2">
        <w:rPr>
          <w:rFonts w:ascii="Times New Roman" w:hAnsi="Times New Roman" w:cs="Times New Roman"/>
          <w:b/>
          <w:bCs/>
          <w:sz w:val="24"/>
          <w:szCs w:val="24"/>
        </w:rPr>
        <w:t>d their Impact on Health Equity</w:t>
      </w:r>
    </w:p>
    <w:p w:rsidR="00FA1825" w:rsidRPr="006A7CD2"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The first goal is to raise community understanding of social determinants of health (SDH) and how much they affect health equality. The publications by Gómez et al. (2021) highlight the complex relationship between socioeconomic factors and health disparities, highlighting the necessity for focused interventions.</w:t>
      </w:r>
    </w:p>
    <w:p w:rsidR="006A7CD2" w:rsidRPr="006A7CD2" w:rsidP="005B1606">
      <w:pPr>
        <w:spacing w:line="480" w:lineRule="auto"/>
        <w:contextualSpacing/>
        <w:rPr>
          <w:rFonts w:ascii="Times New Roman" w:hAnsi="Times New Roman" w:cs="Times New Roman"/>
          <w:b/>
          <w:bCs/>
          <w:sz w:val="24"/>
          <w:szCs w:val="24"/>
        </w:rPr>
      </w:pPr>
      <w:r w:rsidRPr="006A7CD2">
        <w:rPr>
          <w:rFonts w:ascii="Times New Roman" w:hAnsi="Times New Roman" w:cs="Times New Roman"/>
          <w:b/>
          <w:bCs/>
          <w:sz w:val="24"/>
          <w:szCs w:val="24"/>
        </w:rPr>
        <w:t>Objective 2: Provide Resources and Strategies to Overcome Barriers t</w:t>
      </w:r>
      <w:r w:rsidRPr="006A7CD2">
        <w:rPr>
          <w:rFonts w:ascii="Times New Roman" w:hAnsi="Times New Roman" w:cs="Times New Roman"/>
          <w:b/>
          <w:bCs/>
          <w:sz w:val="24"/>
          <w:szCs w:val="24"/>
        </w:rPr>
        <w:t>o Accessing Healthcare Services</w:t>
      </w:r>
    </w:p>
    <w:p w:rsidR="00FA1825" w:rsidRPr="006A7CD2"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The second goal is to provide them with practical tools and advice so they can overcome the obstacles in their way of using healthcare services. In order to attain equitable health outcomes, Pronk (2020) emphasizes the significance of adapting treatments to target unique barriers in various demographic groups.</w:t>
      </w:r>
    </w:p>
    <w:p w:rsidR="006A7CD2" w:rsidRPr="006A7CD2" w:rsidP="005B1606">
      <w:pPr>
        <w:spacing w:line="480" w:lineRule="auto"/>
        <w:contextualSpacing/>
        <w:rPr>
          <w:rFonts w:ascii="Times New Roman" w:hAnsi="Times New Roman" w:cs="Times New Roman"/>
          <w:b/>
          <w:bCs/>
          <w:sz w:val="24"/>
          <w:szCs w:val="24"/>
        </w:rPr>
      </w:pPr>
      <w:r w:rsidRPr="006A7CD2">
        <w:rPr>
          <w:rFonts w:ascii="Times New Roman" w:hAnsi="Times New Roman" w:cs="Times New Roman"/>
          <w:b/>
          <w:bCs/>
          <w:sz w:val="24"/>
          <w:szCs w:val="24"/>
        </w:rPr>
        <w:t>Implementation Plan: Communi</w:t>
      </w:r>
      <w:r w:rsidRPr="006A7CD2">
        <w:rPr>
          <w:rFonts w:ascii="Times New Roman" w:hAnsi="Times New Roman" w:cs="Times New Roman"/>
          <w:b/>
          <w:bCs/>
          <w:sz w:val="24"/>
          <w:szCs w:val="24"/>
        </w:rPr>
        <w:t>ty Forums and Panel Discussions</w:t>
      </w:r>
    </w:p>
    <w:p w:rsidR="00FA1825" w:rsidRPr="006A7CD2"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In order to achieve these goals, over three months, several community forums and panel discussions will be planned under the direction of Ochiai et al. (2021). These gatherings will provide a forum for lively discussion amongst professionals in the medical field, members of the community, and specialists. The articles' recommendations for merging sociological and healthcare policy insights provide a comprehensive strategy for tackling health inequalities.</w:t>
      </w:r>
    </w:p>
    <w:p w:rsidR="006A7CD2" w:rsidRPr="006A7CD2" w:rsidP="005B1606">
      <w:pPr>
        <w:spacing w:line="480" w:lineRule="auto"/>
        <w:contextualSpacing/>
        <w:rPr>
          <w:rFonts w:ascii="Times New Roman" w:hAnsi="Times New Roman" w:cs="Times New Roman"/>
          <w:b/>
          <w:bCs/>
          <w:sz w:val="24"/>
          <w:szCs w:val="24"/>
        </w:rPr>
      </w:pPr>
      <w:r w:rsidRPr="006A7CD2">
        <w:rPr>
          <w:rFonts w:ascii="Times New Roman" w:hAnsi="Times New Roman" w:cs="Times New Roman"/>
          <w:b/>
          <w:bCs/>
          <w:sz w:val="24"/>
          <w:szCs w:val="24"/>
        </w:rPr>
        <w:t>Budget Allocation</w:t>
      </w:r>
    </w:p>
    <w:p w:rsidR="00FA1825" w:rsidRPr="006A7CD2"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The anticipated $5,000 budget for this component reflects the necessity for rigorous resource management to guarantee the events' success. Coordination of the event, speaker honoraria, the creation of advertising materials, and translation services to cater to various linguistic groups are all included in this budget. The need for culturally sensitive strategies to address health disparity is stressed by Gómez et al. (2021), which supports the funding for translation services.</w:t>
      </w:r>
    </w:p>
    <w:p w:rsidR="006A7CD2" w:rsidRPr="006A7CD2" w:rsidP="005B1606">
      <w:pPr>
        <w:spacing w:line="480" w:lineRule="auto"/>
        <w:contextualSpacing/>
        <w:rPr>
          <w:rFonts w:ascii="Times New Roman" w:hAnsi="Times New Roman" w:cs="Times New Roman"/>
          <w:b/>
          <w:bCs/>
          <w:sz w:val="24"/>
          <w:szCs w:val="24"/>
        </w:rPr>
      </w:pPr>
      <w:r w:rsidRPr="006A7CD2">
        <w:rPr>
          <w:rFonts w:ascii="Times New Roman" w:hAnsi="Times New Roman" w:cs="Times New Roman"/>
          <w:b/>
          <w:bCs/>
          <w:sz w:val="24"/>
          <w:szCs w:val="24"/>
        </w:rPr>
        <w:t>Proj</w:t>
      </w:r>
      <w:r w:rsidRPr="006A7CD2">
        <w:rPr>
          <w:rFonts w:ascii="Times New Roman" w:hAnsi="Times New Roman" w:cs="Times New Roman"/>
          <w:b/>
          <w:bCs/>
          <w:sz w:val="24"/>
          <w:szCs w:val="24"/>
        </w:rPr>
        <w:t>ect Justification</w:t>
      </w:r>
    </w:p>
    <w:p w:rsidR="00FA1825" w:rsidRPr="006A7CD2"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 xml:space="preserve">Increasing SDH Awareness to Address Health Disparities: Health disparities continue due to the complex interactions between the underlying socioeconomic determinants of health and the restricted availability of healthcare services. The findings from Pronk (2020) and Griffith (2021) highlight the importance of educating people about SDH and giving them the </w:t>
      </w:r>
      <w:r w:rsidRPr="00255DF4">
        <w:rPr>
          <w:rFonts w:ascii="Times New Roman" w:hAnsi="Times New Roman" w:cs="Times New Roman"/>
          <w:bCs/>
          <w:sz w:val="24"/>
          <w:szCs w:val="24"/>
        </w:rPr>
        <w:t>tools they need to overcome obstacles to reduce inequities and advance health equity. This initiative aims to provide people with the knowledge they need to advocate for their health needs and break down institutional obstacles.</w:t>
      </w:r>
    </w:p>
    <w:p w:rsidR="006A7CD2" w:rsidRPr="006A7CD2" w:rsidP="005B1606">
      <w:pPr>
        <w:spacing w:line="480" w:lineRule="auto"/>
        <w:contextualSpacing/>
        <w:rPr>
          <w:rFonts w:ascii="Times New Roman" w:hAnsi="Times New Roman" w:cs="Times New Roman"/>
          <w:b/>
          <w:bCs/>
          <w:sz w:val="24"/>
          <w:szCs w:val="24"/>
        </w:rPr>
      </w:pPr>
      <w:r w:rsidRPr="006A7CD2">
        <w:rPr>
          <w:rFonts w:ascii="Times New Roman" w:hAnsi="Times New Roman" w:cs="Times New Roman"/>
          <w:b/>
          <w:bCs/>
          <w:sz w:val="24"/>
          <w:szCs w:val="24"/>
        </w:rPr>
        <w:t>Implementation Details: Communi</w:t>
      </w:r>
      <w:r w:rsidRPr="006A7CD2">
        <w:rPr>
          <w:rFonts w:ascii="Times New Roman" w:hAnsi="Times New Roman" w:cs="Times New Roman"/>
          <w:b/>
          <w:bCs/>
          <w:sz w:val="24"/>
          <w:szCs w:val="24"/>
        </w:rPr>
        <w:t>ty Engagement and Accessibility</w:t>
      </w:r>
    </w:p>
    <w:p w:rsidR="00FA1825" w:rsidRPr="006A7CD2" w:rsidP="005B1606">
      <w:pPr>
        <w:spacing w:line="480" w:lineRule="auto"/>
        <w:ind w:firstLine="720"/>
        <w:contextualSpacing/>
        <w:rPr>
          <w:rFonts w:ascii="Times New Roman" w:hAnsi="Times New Roman" w:cs="Times New Roman"/>
          <w:bCs/>
          <w:sz w:val="24"/>
          <w:szCs w:val="24"/>
        </w:rPr>
      </w:pPr>
      <w:r w:rsidRPr="00255DF4">
        <w:rPr>
          <w:rFonts w:ascii="Times New Roman" w:hAnsi="Times New Roman" w:cs="Times New Roman"/>
          <w:bCs/>
          <w:sz w:val="24"/>
          <w:szCs w:val="24"/>
        </w:rPr>
        <w:t>By Pronk's (2020) recommendations for continued participation and continuity, the project will be implemented from April to June 2024. The gatherings will occur in familiar and easily accessible community centers. According to Ochiai et al. (2021), scheduling the programs in the evenings considers the participants' work schedules and shows a concentrated attempt to increase participation.</w:t>
      </w:r>
    </w:p>
    <w:p w:rsidR="00255DF4" w:rsidRPr="00255DF4" w:rsidP="00255DF4">
      <w:pPr>
        <w:spacing w:line="480" w:lineRule="auto"/>
        <w:contextualSpacing/>
        <w:rPr>
          <w:rFonts w:ascii="Times New Roman" w:hAnsi="Times New Roman" w:cs="Times New Roman"/>
          <w:b/>
          <w:bCs/>
          <w:sz w:val="24"/>
          <w:szCs w:val="24"/>
        </w:rPr>
      </w:pPr>
      <w:r w:rsidRPr="008E3A39">
        <w:rPr>
          <w:rFonts w:ascii="Times New Roman" w:hAnsi="Times New Roman" w:cs="Times New Roman"/>
          <w:b/>
          <w:bCs/>
          <w:sz w:val="24"/>
          <w:szCs w:val="24"/>
        </w:rPr>
        <w:t>Teaching Materials</w:t>
      </w:r>
    </w:p>
    <w:p w:rsidR="00BC679A" w:rsidRPr="00255DF4" w:rsidP="00255DF4">
      <w:pPr>
        <w:spacing w:line="480" w:lineRule="auto"/>
        <w:ind w:firstLine="720"/>
        <w:contextualSpacing/>
        <w:rPr>
          <w:rFonts w:ascii="Times New Roman" w:hAnsi="Times New Roman" w:cs="Times New Roman"/>
          <w:b/>
          <w:bCs/>
          <w:sz w:val="24"/>
          <w:szCs w:val="24"/>
        </w:rPr>
      </w:pPr>
      <w:r w:rsidRPr="008E3A39">
        <w:rPr>
          <w:rFonts w:ascii="Times New Roman" w:hAnsi="Times New Roman" w:cs="Times New Roman"/>
          <w:bCs/>
          <w:sz w:val="24"/>
          <w:szCs w:val="24"/>
        </w:rPr>
        <w:t>The initiative's teaching resources will be painstakingly created to promote understanding and effective communication. The resources, including educational pamphlets, multimedia presentations, and real-life case studies, will be inspired by social workers, researchers, and healthcare experts. These resources will benefit a variety of learning styles and guarantee that thorough and helpful information is shared per Gómez et al. (2021) guidelines.</w:t>
      </w:r>
    </w:p>
    <w:p w:rsidR="00BC679A" w:rsidP="005B1606">
      <w:pPr>
        <w:spacing w:line="480" w:lineRule="auto"/>
        <w:contextualSpacing/>
        <w:jc w:val="center"/>
        <w:rPr>
          <w:rFonts w:ascii="Times New Roman" w:hAnsi="Times New Roman" w:cs="Times New Roman"/>
          <w:b/>
          <w:bCs/>
          <w:sz w:val="24"/>
          <w:szCs w:val="24"/>
        </w:rPr>
      </w:pPr>
      <w:r w:rsidRPr="00BC679A">
        <w:rPr>
          <w:rFonts w:ascii="Times New Roman" w:hAnsi="Times New Roman" w:cs="Times New Roman"/>
          <w:b/>
          <w:bCs/>
          <w:sz w:val="24"/>
          <w:szCs w:val="24"/>
        </w:rPr>
        <w:t>Nursing Actions/Interventions</w:t>
      </w:r>
    </w:p>
    <w:p w:rsidR="008E3A39" w:rsidRPr="008E3A39" w:rsidP="008E3A39">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 xml:space="preserve">Nursing professionals have a key and multifarious role in the community education effort to promote well-being and address health inequities. With the knowledge gained from studies by Pronk (2020), Griffith (2021), Ochiai et al. (2021), and Gómez et al. (2021), nurses are well-positioned to implement crucial treatments that go beyond the confines of traditional healthcare. Their engagement includes health evaluations, conversational facilitation, and </w:t>
      </w:r>
      <w:r w:rsidRPr="008E3A39">
        <w:rPr>
          <w:rFonts w:ascii="Times New Roman" w:hAnsi="Times New Roman" w:cs="Times New Roman"/>
          <w:sz w:val="24"/>
          <w:szCs w:val="24"/>
        </w:rPr>
        <w:t>individualized advice, all entwined to spark revolutionary transformation in the community.</w:t>
      </w:r>
    </w:p>
    <w:p w:rsidR="008E3A39" w:rsidRPr="008E3A39" w:rsidP="008E3A39">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Nurses will conduct thorough health evaluations, leading the way in informed intervention, taking inspiration from Pronk (2020). These evaluations will be thorough and attentive to cultural differences, recognizing the complex interactions between social determinants of health, as Gómez et al. (2021) noted. Nurses will provide the groundwork for customized treatments by collecting baseline health data, acknowledging that uneven access to healthcare resources and services is frequently the root cause of health inequalities. This strategy aligns with Healthy People 2030's primary objective of addressing health equality.</w:t>
      </w:r>
    </w:p>
    <w:p w:rsidR="006A7CD2" w:rsidRPr="006A7CD2" w:rsidP="008E3A39">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In keeping with Griffith's (2021) lessons, nurses will also participate in conversations that facilitators lead and encourage a lively exchange of ideas. Participants can share their experiences, difficulties, and goals on these interactive conversation forums. To unravel the intricacies of health inequities and recognize the different needs of the community, nurses will use a culturally competent approach to provide a safe and inclusive environment.</w:t>
      </w:r>
    </w:p>
    <w:p w:rsidR="006A7CD2" w:rsidRPr="006A7CD2" w:rsidP="005B1606">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As Ochiai et al. (2021) envisioned, the art of individualized guiding will be a distinguishing feature of nursing interventions. In addition to sharing knowledge, nurses will provide people with the tools they need to make decisions that will lead to better health. Nurses will be agents of long-lasting change by recognizing the importance of social factors and working with participants to develop action plans jointly. Through individual conversations, they will transcend the boundaries of conventional healthcare environments and promote all-encompassing approaches that consider mental, emotional, and physical wellness.</w:t>
      </w:r>
    </w:p>
    <w:p w:rsidR="00BC679A" w:rsidRPr="00BC679A" w:rsidP="005B1606">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 xml:space="preserve">The papers emphasize the need to use pre-and post-assessments, which are essential to this strategy. Pronk (2020) points out that this methodical assessment of </w:t>
      </w:r>
      <w:r w:rsidRPr="008E3A39">
        <w:rPr>
          <w:rFonts w:ascii="Times New Roman" w:hAnsi="Times New Roman" w:cs="Times New Roman"/>
          <w:sz w:val="24"/>
          <w:szCs w:val="24"/>
        </w:rPr>
        <w:t>participants' comprehension and development acts as a compass, directing nursing interventions and permitting modifications as necessary. Nurses will determine the initiative's impact on the community's overall health landscape and confirm the effectiveness of their treatments by evaluating changes in participants' knowledge, actions, and perceptions.</w:t>
      </w:r>
    </w:p>
    <w:p w:rsidR="00BC679A" w:rsidP="005B1606">
      <w:pPr>
        <w:spacing w:line="480" w:lineRule="auto"/>
        <w:contextualSpacing/>
        <w:jc w:val="center"/>
        <w:rPr>
          <w:rFonts w:ascii="Times New Roman" w:hAnsi="Times New Roman" w:cs="Times New Roman"/>
          <w:b/>
          <w:bCs/>
          <w:sz w:val="24"/>
          <w:szCs w:val="24"/>
        </w:rPr>
      </w:pPr>
      <w:r w:rsidRPr="00BC679A">
        <w:rPr>
          <w:rFonts w:ascii="Times New Roman" w:hAnsi="Times New Roman" w:cs="Times New Roman"/>
          <w:b/>
          <w:bCs/>
          <w:sz w:val="24"/>
          <w:szCs w:val="24"/>
        </w:rPr>
        <w:t>Public and Priva</w:t>
      </w:r>
      <w:r>
        <w:rPr>
          <w:rFonts w:ascii="Times New Roman" w:hAnsi="Times New Roman" w:cs="Times New Roman"/>
          <w:b/>
          <w:bCs/>
          <w:sz w:val="24"/>
          <w:szCs w:val="24"/>
        </w:rPr>
        <w:t>te Partnerships</w:t>
      </w:r>
    </w:p>
    <w:p w:rsidR="006A7CD2" w:rsidRPr="006A7CD2" w:rsidP="005B1606">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The development of substantial public and private partnerships is a crucial component of assuring the success and sustainability of our community education project focused on well-being and health equity, per the tenets promoted by Pronk (2020) and Gómez et al. (2021). These collaborations will help varied stakeholders work together to address the complex issues mentioned by Griffith (2021) and Ochiai et al. (2021), which will increase the overall effect of our program.</w:t>
      </w:r>
    </w:p>
    <w:p w:rsidR="006A7CD2" w:rsidRPr="006A7CD2" w:rsidP="005B1606">
      <w:pPr>
        <w:pStyle w:val="ListParagraph"/>
        <w:numPr>
          <w:ilvl w:val="0"/>
          <w:numId w:val="2"/>
        </w:numPr>
        <w:spacing w:line="480" w:lineRule="auto"/>
        <w:rPr>
          <w:rFonts w:ascii="Times New Roman" w:hAnsi="Times New Roman" w:cs="Times New Roman"/>
          <w:b/>
          <w:bCs/>
          <w:sz w:val="24"/>
          <w:szCs w:val="24"/>
        </w:rPr>
      </w:pPr>
      <w:r w:rsidRPr="006A7CD2">
        <w:rPr>
          <w:rFonts w:ascii="Times New Roman" w:hAnsi="Times New Roman" w:cs="Times New Roman"/>
          <w:b/>
          <w:bCs/>
          <w:sz w:val="24"/>
          <w:szCs w:val="24"/>
        </w:rPr>
        <w:t>Public Partnerships</w:t>
      </w:r>
    </w:p>
    <w:p w:rsidR="006A7CD2" w:rsidRPr="006A7CD2" w:rsidP="005B1606">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 xml:space="preserve">Working with local government health departments to make the most of the infrastructure, resources, and knowledge already available will be crucial. This collaboration supports the ideas of Gómez et al. (2021), who stress the value of tackling socioeconomic determinants of health via concerted efforts. The health departments may help by giving people access to health information, supporting outreach initiatives, and assisting in identifying disadvantaged populations that could benefit from our study's treatments. The knowledge and techniques discussed in our instructional sessions will be more widely disseminated thanks to our partnership, which will increase the impact of our effort. Furthermore, relationships with local groups that support our objectives will increase our effect, per Pronk's (2020) recommendations. We can connect with people who may be hard to engage if we use the networks of these organizations. By addressing the variety of needs and preferences within </w:t>
      </w:r>
      <w:r w:rsidRPr="008E3A39">
        <w:rPr>
          <w:rFonts w:ascii="Times New Roman" w:hAnsi="Times New Roman" w:cs="Times New Roman"/>
          <w:sz w:val="24"/>
          <w:szCs w:val="24"/>
        </w:rPr>
        <w:t>our community, these collaborations may help improve the cultural relevance of our products and events.</w:t>
      </w:r>
    </w:p>
    <w:p w:rsidR="006A7CD2" w:rsidRPr="006A7CD2" w:rsidP="005B1606">
      <w:pPr>
        <w:pStyle w:val="ListParagraph"/>
        <w:numPr>
          <w:ilvl w:val="0"/>
          <w:numId w:val="2"/>
        </w:numPr>
        <w:spacing w:line="480" w:lineRule="auto"/>
        <w:rPr>
          <w:rFonts w:ascii="Times New Roman" w:hAnsi="Times New Roman" w:cs="Times New Roman"/>
          <w:sz w:val="24"/>
          <w:szCs w:val="24"/>
        </w:rPr>
      </w:pPr>
      <w:r w:rsidRPr="006A7CD2">
        <w:rPr>
          <w:rFonts w:ascii="Times New Roman" w:hAnsi="Times New Roman" w:cs="Times New Roman"/>
          <w:b/>
          <w:bCs/>
          <w:sz w:val="24"/>
          <w:szCs w:val="24"/>
        </w:rPr>
        <w:t>Private Partnerships</w:t>
      </w:r>
    </w:p>
    <w:p w:rsidR="00BC679A" w:rsidRPr="00BC679A" w:rsidP="005B1606">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As Pronk (2020) suggested, including neighborhood health clinics and fitness facilities provides the chance to build a substantial ecosystem of support for our project's participants. Private healthcare providers can help by providing subsidized health examinations, advice, and aftercare. By working with these clinics, we close the knowledge gap and provide concrete measures that make it simpler for participants to get the required healthcare services. Engaging neighborhood fitness facilities is consistent with Pronk's (2020) recommendations for promoting healthy lifestyles. Fitness facilities may give project participants subsidized memberships or classes to encourage a culture of physical exercise. This collaboration focuses on Healthy People 2030's principle of incorporating wellness activities throughout daily life.</w:t>
      </w:r>
    </w:p>
    <w:p w:rsidR="00BC679A" w:rsidP="005B1606">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Outcome Timeline</w:t>
      </w:r>
    </w:p>
    <w:p w:rsidR="005B1606" w:rsidRPr="005B1606" w:rsidP="005B1606">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The objectives of Healthy People 2030 are aligned with the anticipated outcomes of this community education initiative, which are intended to be quantifiable and significant. The six-month time frame for these results includes particular checkpoints at the three- and six-month intervals.</w:t>
      </w:r>
    </w:p>
    <w:p w:rsidR="005B1606" w:rsidP="005B1606">
      <w:pPr>
        <w:spacing w:line="480" w:lineRule="auto"/>
        <w:contextualSpacing/>
        <w:rPr>
          <w:rFonts w:ascii="Times New Roman" w:hAnsi="Times New Roman" w:cs="Times New Roman"/>
          <w:sz w:val="24"/>
          <w:szCs w:val="24"/>
        </w:rPr>
      </w:pPr>
      <w:r w:rsidRPr="005B1606">
        <w:rPr>
          <w:rFonts w:ascii="Times New Roman" w:hAnsi="Times New Roman" w:cs="Times New Roman"/>
          <w:b/>
          <w:bCs/>
          <w:sz w:val="24"/>
          <w:szCs w:val="24"/>
        </w:rPr>
        <w:t>3 Months: Increased Awareness and Participation in Physical Activity and Healthy Eating Practices</w:t>
      </w:r>
      <w:r w:rsidRPr="005B1606">
        <w:rPr>
          <w:rFonts w:ascii="Times New Roman" w:hAnsi="Times New Roman" w:cs="Times New Roman"/>
          <w:sz w:val="24"/>
          <w:szCs w:val="24"/>
        </w:rPr>
        <w:t xml:space="preserve"> </w:t>
      </w:r>
    </w:p>
    <w:p w:rsidR="005B1606" w:rsidRPr="005B1606" w:rsidP="005B1606">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 xml:space="preserve">After three months, the study seeks to significantly raise community knowledge of and participation in physical exercise and good eating habits. Participant questionnaires and self-reporting will be used to gauge the benefits of the workshops and seminars. The frequency </w:t>
      </w:r>
      <w:r w:rsidRPr="008E3A39">
        <w:rPr>
          <w:rFonts w:ascii="Times New Roman" w:hAnsi="Times New Roman" w:cs="Times New Roman"/>
          <w:sz w:val="24"/>
          <w:szCs w:val="24"/>
        </w:rPr>
        <w:t>of attendance, the degree of interaction during interactive sessions, and feedback will give us an idea of how much behavior has changed and how much information has been acquired. Throughout this time, attendees will learn more about the advantages of regular exercise and a healthy diet. They will have learned valuable tips for combining exercise with regular activities and choosing better diets. Measuring variables such as increased use of neighborhood recreational facilities, reported dietary modifications and improvements in self-perceived well-being would be necessary to monitor these changes.</w:t>
      </w:r>
    </w:p>
    <w:p w:rsidR="005B1606" w:rsidP="005B1606">
      <w:pPr>
        <w:spacing w:line="480" w:lineRule="auto"/>
        <w:contextualSpacing/>
        <w:rPr>
          <w:rFonts w:ascii="Times New Roman" w:hAnsi="Times New Roman" w:cs="Times New Roman"/>
          <w:sz w:val="24"/>
          <w:szCs w:val="24"/>
        </w:rPr>
      </w:pPr>
      <w:r w:rsidRPr="005B1606">
        <w:rPr>
          <w:rFonts w:ascii="Times New Roman" w:hAnsi="Times New Roman" w:cs="Times New Roman"/>
          <w:b/>
          <w:bCs/>
          <w:sz w:val="24"/>
          <w:szCs w:val="24"/>
        </w:rPr>
        <w:t>6 Months: Improved Health Literacy Regarding Social Determinants of Health and Increased Utilization of Available Healthcare Resources</w:t>
      </w:r>
      <w:r w:rsidRPr="005B1606">
        <w:rPr>
          <w:rFonts w:ascii="Times New Roman" w:hAnsi="Times New Roman" w:cs="Times New Roman"/>
          <w:sz w:val="24"/>
          <w:szCs w:val="24"/>
        </w:rPr>
        <w:t xml:space="preserve"> </w:t>
      </w:r>
    </w:p>
    <w:p w:rsidR="005B1606" w:rsidRPr="005B1606" w:rsidP="005B1606">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The project's focus will have switched at the end of the first six months to tackling health inequalities and enhancing health literacy concerning socioeconomic determinants of health. We will analyze survey data and participant input to determine how much we have learned about these complicated aspects. Health literacy tests will measure participants' understanding of the many factors affecting health outcomes. Patient intake questionnaires, participant feedback, and community health clinic data will all be used to monitor the increased use of the healthcare system's resources. A more significant number of visits to the doctor, particularly for preventative treatment, will indicate a favorable effect on the participants' attitudes about health management. Additionally, evidence of greater participation in community projects and health advocacy will show a growing commitment to reducing inequalities and advancing health equality.</w:t>
      </w:r>
    </w:p>
    <w:p w:rsidR="00BC679A" w:rsidP="005B1606">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Conclusion</w:t>
      </w:r>
    </w:p>
    <w:p w:rsidR="00BC679A" w:rsidRPr="00BC679A" w:rsidP="005B1606">
      <w:pPr>
        <w:spacing w:line="480" w:lineRule="auto"/>
        <w:ind w:firstLine="720"/>
        <w:contextualSpacing/>
        <w:rPr>
          <w:rFonts w:ascii="Times New Roman" w:hAnsi="Times New Roman" w:cs="Times New Roman"/>
          <w:sz w:val="24"/>
          <w:szCs w:val="24"/>
        </w:rPr>
      </w:pPr>
      <w:r w:rsidRPr="008E3A39">
        <w:rPr>
          <w:rFonts w:ascii="Times New Roman" w:hAnsi="Times New Roman" w:cs="Times New Roman"/>
          <w:sz w:val="24"/>
          <w:szCs w:val="24"/>
        </w:rPr>
        <w:t xml:space="preserve">By implementing this extensive community education initiative, we aim to promote a well-being culture, give people the power to make wise health decisions, and contribute to a </w:t>
      </w:r>
      <w:r w:rsidRPr="008E3A39">
        <w:rPr>
          <w:rFonts w:ascii="Times New Roman" w:hAnsi="Times New Roman" w:cs="Times New Roman"/>
          <w:sz w:val="24"/>
          <w:szCs w:val="24"/>
        </w:rPr>
        <w:t>fairer healthcare system. We can achieve the objectives outlined in Healthy People 2030 and build a healthier, more resilient community by working together, spreading awareness, and working consistently.</w:t>
      </w:r>
      <w:bookmarkStart w:id="0" w:name="_GoBack"/>
      <w:bookmarkEnd w:id="0"/>
    </w:p>
    <w:p w:rsidR="005B1606" w:rsidP="005B1606">
      <w:pPr>
        <w:contextualSpacing/>
        <w:rPr>
          <w:rFonts w:ascii="Times New Roman" w:hAnsi="Times New Roman" w:cs="Times New Roman"/>
          <w:b/>
          <w:sz w:val="24"/>
          <w:szCs w:val="24"/>
        </w:rPr>
      </w:pPr>
      <w:r>
        <w:rPr>
          <w:rFonts w:ascii="Times New Roman" w:hAnsi="Times New Roman" w:cs="Times New Roman"/>
          <w:b/>
          <w:sz w:val="24"/>
          <w:szCs w:val="24"/>
        </w:rPr>
        <w:br w:type="page"/>
      </w:r>
    </w:p>
    <w:p w:rsidR="006F22D2" w:rsidP="005B1606">
      <w:pPr>
        <w:spacing w:line="480" w:lineRule="auto"/>
        <w:contextualSpacing/>
        <w:jc w:val="center"/>
        <w:rPr>
          <w:rFonts w:ascii="Times New Roman" w:hAnsi="Times New Roman" w:cs="Times New Roman"/>
          <w:b/>
          <w:sz w:val="24"/>
          <w:szCs w:val="24"/>
        </w:rPr>
      </w:pPr>
      <w:r w:rsidRPr="005B1606">
        <w:rPr>
          <w:rFonts w:ascii="Times New Roman" w:hAnsi="Times New Roman" w:cs="Times New Roman"/>
          <w:b/>
          <w:sz w:val="24"/>
          <w:szCs w:val="24"/>
        </w:rPr>
        <w:t>References</w:t>
      </w:r>
    </w:p>
    <w:p w:rsidR="005B1606" w:rsidRPr="005B1606" w:rsidP="005B1606">
      <w:pPr>
        <w:spacing w:line="480" w:lineRule="auto"/>
        <w:ind w:left="720" w:hanging="720"/>
        <w:contextualSpacing/>
        <w:rPr>
          <w:rFonts w:ascii="Times New Roman" w:hAnsi="Times New Roman" w:cs="Times New Roman"/>
          <w:sz w:val="24"/>
          <w:szCs w:val="24"/>
        </w:rPr>
      </w:pPr>
      <w:r w:rsidRPr="005B1606">
        <w:rPr>
          <w:rFonts w:ascii="Times New Roman" w:hAnsi="Times New Roman" w:cs="Times New Roman"/>
          <w:sz w:val="24"/>
          <w:szCs w:val="24"/>
        </w:rPr>
        <w:t>Griffith, D. M. (2021). Well-being in healthy people 2030: A missed opportunity. </w:t>
      </w:r>
      <w:r w:rsidRPr="005B1606">
        <w:rPr>
          <w:rFonts w:ascii="Times New Roman" w:hAnsi="Times New Roman" w:cs="Times New Roman"/>
          <w:i/>
          <w:iCs/>
          <w:sz w:val="24"/>
          <w:szCs w:val="24"/>
        </w:rPr>
        <w:t>Health Education &amp; Behavior</w:t>
      </w:r>
      <w:r w:rsidRPr="005B1606">
        <w:rPr>
          <w:rFonts w:ascii="Times New Roman" w:hAnsi="Times New Roman" w:cs="Times New Roman"/>
          <w:sz w:val="24"/>
          <w:szCs w:val="24"/>
        </w:rPr>
        <w:t>, </w:t>
      </w:r>
      <w:r w:rsidRPr="005B1606">
        <w:rPr>
          <w:rFonts w:ascii="Times New Roman" w:hAnsi="Times New Roman" w:cs="Times New Roman"/>
          <w:i/>
          <w:iCs/>
          <w:sz w:val="24"/>
          <w:szCs w:val="24"/>
        </w:rPr>
        <w:t>48</w:t>
      </w:r>
      <w:r w:rsidRPr="005B1606">
        <w:rPr>
          <w:rFonts w:ascii="Times New Roman" w:hAnsi="Times New Roman" w:cs="Times New Roman"/>
          <w:sz w:val="24"/>
          <w:szCs w:val="24"/>
        </w:rPr>
        <w:t xml:space="preserve">(2), 115–117. </w:t>
      </w:r>
      <w:hyperlink r:id="rId4" w:history="1">
        <w:r w:rsidRPr="005B1606">
          <w:rPr>
            <w:rStyle w:val="Hyperlink"/>
            <w:rFonts w:ascii="Times New Roman" w:hAnsi="Times New Roman" w:cs="Times New Roman"/>
            <w:sz w:val="24"/>
            <w:szCs w:val="24"/>
          </w:rPr>
          <w:t>https://doi.org/10.1177/1090198121997744</w:t>
        </w:r>
      </w:hyperlink>
    </w:p>
    <w:p w:rsidR="005B1606" w:rsidRPr="005B1606" w:rsidP="005B1606">
      <w:pPr>
        <w:spacing w:line="480" w:lineRule="auto"/>
        <w:ind w:left="720" w:hanging="720"/>
        <w:contextualSpacing/>
        <w:rPr>
          <w:rFonts w:ascii="Times New Roman" w:hAnsi="Times New Roman" w:cs="Times New Roman"/>
          <w:sz w:val="24"/>
          <w:szCs w:val="24"/>
        </w:rPr>
      </w:pPr>
      <w:r w:rsidRPr="005B1606">
        <w:rPr>
          <w:rFonts w:ascii="Times New Roman" w:hAnsi="Times New Roman" w:cs="Times New Roman"/>
          <w:sz w:val="24"/>
          <w:szCs w:val="24"/>
        </w:rPr>
        <w:t xml:space="preserve">Gómez, C. A., Kleinman, D. V., Pronk, N., Wrenn Gordon, G. L., Ochiai, E., Blakey, C., Johnson, A., &amp; Brewer, K. H. (2021). Addressing health equity and social determinants of health through Healthy People 2030. </w:t>
      </w:r>
      <w:r w:rsidRPr="005B1606">
        <w:rPr>
          <w:rFonts w:ascii="Times New Roman" w:hAnsi="Times New Roman" w:cs="Times New Roman"/>
          <w:i/>
          <w:iCs/>
          <w:sz w:val="24"/>
          <w:szCs w:val="24"/>
        </w:rPr>
        <w:t>Journal of Public Health Management and Practice</w:t>
      </w:r>
      <w:r w:rsidRPr="005B1606">
        <w:rPr>
          <w:rFonts w:ascii="Times New Roman" w:hAnsi="Times New Roman" w:cs="Times New Roman"/>
          <w:sz w:val="24"/>
          <w:szCs w:val="24"/>
        </w:rPr>
        <w:t>, </w:t>
      </w:r>
      <w:r w:rsidRPr="005B1606">
        <w:rPr>
          <w:rFonts w:ascii="Times New Roman" w:hAnsi="Times New Roman" w:cs="Times New Roman"/>
          <w:i/>
          <w:iCs/>
          <w:sz w:val="24"/>
          <w:szCs w:val="24"/>
        </w:rPr>
        <w:t>27</w:t>
      </w:r>
      <w:r w:rsidRPr="005B1606">
        <w:rPr>
          <w:rFonts w:ascii="Times New Roman" w:hAnsi="Times New Roman" w:cs="Times New Roman"/>
          <w:sz w:val="24"/>
          <w:szCs w:val="24"/>
        </w:rPr>
        <w:t>(Supplement 6), S249-S257. </w:t>
      </w:r>
      <w:hyperlink r:id="rId5" w:history="1">
        <w:r w:rsidRPr="005B1606">
          <w:rPr>
            <w:rStyle w:val="Hyperlink"/>
            <w:rFonts w:ascii="Times New Roman" w:hAnsi="Times New Roman" w:cs="Times New Roman"/>
            <w:sz w:val="24"/>
            <w:szCs w:val="24"/>
          </w:rPr>
          <w:t>https://doi.org/10.1097/phh.0000000000001297</w:t>
        </w:r>
      </w:hyperlink>
    </w:p>
    <w:p w:rsidR="005B1606" w:rsidRPr="005B1606" w:rsidP="005B1606">
      <w:pPr>
        <w:spacing w:line="480" w:lineRule="auto"/>
        <w:ind w:left="720" w:hanging="720"/>
        <w:contextualSpacing/>
        <w:rPr>
          <w:rFonts w:ascii="Times New Roman" w:hAnsi="Times New Roman" w:cs="Times New Roman"/>
          <w:sz w:val="24"/>
          <w:szCs w:val="24"/>
        </w:rPr>
      </w:pPr>
      <w:r w:rsidRPr="005B1606">
        <w:rPr>
          <w:rFonts w:ascii="Times New Roman" w:hAnsi="Times New Roman" w:cs="Times New Roman"/>
          <w:sz w:val="24"/>
          <w:szCs w:val="24"/>
        </w:rPr>
        <w:t xml:space="preserve">Ochiai, E., Kigenyi, T., Sondik, E., Pronk, N., Kleinman, D. V., Blakey, C., Fromknecht, C. Q., Heffernan, M., &amp; Brewer, K. H. (2021). Healthy People 2030 leading health indicators and overall health and well-being measures: Opportunities to assess and improve the health and well-being of the nation. </w:t>
      </w:r>
      <w:r w:rsidRPr="005B1606">
        <w:rPr>
          <w:rFonts w:ascii="Times New Roman" w:hAnsi="Times New Roman" w:cs="Times New Roman"/>
          <w:i/>
          <w:iCs/>
          <w:sz w:val="24"/>
          <w:szCs w:val="24"/>
        </w:rPr>
        <w:t>Journal of Public Health Management and Practice</w:t>
      </w:r>
      <w:r w:rsidRPr="005B1606">
        <w:rPr>
          <w:rFonts w:ascii="Times New Roman" w:hAnsi="Times New Roman" w:cs="Times New Roman"/>
          <w:sz w:val="24"/>
          <w:szCs w:val="24"/>
        </w:rPr>
        <w:t>, </w:t>
      </w:r>
      <w:r w:rsidRPr="005B1606">
        <w:rPr>
          <w:rFonts w:ascii="Times New Roman" w:hAnsi="Times New Roman" w:cs="Times New Roman"/>
          <w:i/>
          <w:iCs/>
          <w:sz w:val="24"/>
          <w:szCs w:val="24"/>
        </w:rPr>
        <w:t>27</w:t>
      </w:r>
      <w:r w:rsidRPr="005B1606">
        <w:rPr>
          <w:rFonts w:ascii="Times New Roman" w:hAnsi="Times New Roman" w:cs="Times New Roman"/>
          <w:sz w:val="24"/>
          <w:szCs w:val="24"/>
        </w:rPr>
        <w:t>(Supplement 6), S235-S241. </w:t>
      </w:r>
      <w:hyperlink r:id="rId6" w:history="1">
        <w:r w:rsidRPr="005B1606">
          <w:rPr>
            <w:rStyle w:val="Hyperlink"/>
            <w:rFonts w:ascii="Times New Roman" w:hAnsi="Times New Roman" w:cs="Times New Roman"/>
            <w:sz w:val="24"/>
            <w:szCs w:val="24"/>
          </w:rPr>
          <w:t>https://doi.org/10.1097/phh.0000000000001424</w:t>
        </w:r>
      </w:hyperlink>
    </w:p>
    <w:p w:rsidR="005B1606" w:rsidRPr="005B1606" w:rsidP="005B1606">
      <w:pPr>
        <w:spacing w:line="480" w:lineRule="auto"/>
        <w:ind w:left="720" w:hanging="720"/>
        <w:contextualSpacing/>
        <w:rPr>
          <w:rFonts w:ascii="Times New Roman" w:hAnsi="Times New Roman" w:cs="Times New Roman"/>
          <w:sz w:val="24"/>
          <w:szCs w:val="24"/>
        </w:rPr>
      </w:pPr>
      <w:r w:rsidRPr="005B1606">
        <w:rPr>
          <w:rFonts w:ascii="Times New Roman" w:hAnsi="Times New Roman" w:cs="Times New Roman"/>
          <w:sz w:val="24"/>
          <w:szCs w:val="24"/>
        </w:rPr>
        <w:t xml:space="preserve">Pronk, N. P., &amp; Ochiai, E. (2020). Healthy People 2030: Considerations for workplace health and well-being. </w:t>
      </w:r>
      <w:r w:rsidRPr="005B1606">
        <w:rPr>
          <w:rFonts w:ascii="Times New Roman" w:hAnsi="Times New Roman" w:cs="Times New Roman"/>
          <w:i/>
          <w:iCs/>
          <w:sz w:val="24"/>
          <w:szCs w:val="24"/>
        </w:rPr>
        <w:t>ACSM'S Health &amp; Fitness Journal</w:t>
      </w:r>
      <w:r w:rsidRPr="005B1606">
        <w:rPr>
          <w:rFonts w:ascii="Times New Roman" w:hAnsi="Times New Roman" w:cs="Times New Roman"/>
          <w:sz w:val="24"/>
          <w:szCs w:val="24"/>
        </w:rPr>
        <w:t>, </w:t>
      </w:r>
      <w:r w:rsidRPr="005B1606">
        <w:rPr>
          <w:rFonts w:ascii="Times New Roman" w:hAnsi="Times New Roman" w:cs="Times New Roman"/>
          <w:i/>
          <w:iCs/>
          <w:sz w:val="24"/>
          <w:szCs w:val="24"/>
        </w:rPr>
        <w:t>24</w:t>
      </w:r>
      <w:r w:rsidRPr="005B1606">
        <w:rPr>
          <w:rFonts w:ascii="Times New Roman" w:hAnsi="Times New Roman" w:cs="Times New Roman"/>
          <w:sz w:val="24"/>
          <w:szCs w:val="24"/>
        </w:rPr>
        <w:t>(5), 65-68. </w:t>
      </w:r>
      <w:hyperlink r:id="rId7" w:history="1">
        <w:r w:rsidRPr="005B1606">
          <w:rPr>
            <w:rStyle w:val="Hyperlink"/>
            <w:rFonts w:ascii="Times New Roman" w:hAnsi="Times New Roman" w:cs="Times New Roman"/>
            <w:sz w:val="24"/>
            <w:szCs w:val="24"/>
          </w:rPr>
          <w:t>https://doi.org/10.1249/fit.0000000000000600</w:t>
        </w:r>
      </w:hyperlink>
    </w:p>
    <w:p w:rsidR="005B1606" w:rsidRPr="005B1606" w:rsidP="005B1606">
      <w:pPr>
        <w:spacing w:line="480" w:lineRule="auto"/>
        <w:ind w:left="720" w:hanging="720"/>
        <w:contextualSpacing/>
        <w:rPr>
          <w:rFonts w:ascii="Times New Roman" w:hAnsi="Times New Roman" w:cs="Times New Roman"/>
          <w:sz w:val="24"/>
          <w:szCs w:val="24"/>
        </w:rPr>
      </w:pPr>
      <w:r w:rsidRPr="005B1606">
        <w:rPr>
          <w:rFonts w:ascii="Times New Roman" w:hAnsi="Times New Roman" w:cs="Times New Roman"/>
          <w:sz w:val="24"/>
          <w:szCs w:val="24"/>
        </w:rPr>
        <w:t xml:space="preserve">Pronk, N. P., &amp; Stiefel, M. C. (2020). Leveraging the rest of society: Aligning Healthy People 2030, well-being in the nation, and other national health indicators with workplace health and well-being. </w:t>
      </w:r>
      <w:r w:rsidRPr="005B1606">
        <w:rPr>
          <w:rFonts w:ascii="Times New Roman" w:hAnsi="Times New Roman" w:cs="Times New Roman"/>
          <w:i/>
          <w:iCs/>
          <w:sz w:val="24"/>
          <w:szCs w:val="24"/>
        </w:rPr>
        <w:t>American Journal of Health Promotion</w:t>
      </w:r>
      <w:r w:rsidRPr="005B1606">
        <w:rPr>
          <w:rFonts w:ascii="Times New Roman" w:hAnsi="Times New Roman" w:cs="Times New Roman"/>
          <w:sz w:val="24"/>
          <w:szCs w:val="24"/>
        </w:rPr>
        <w:t>, </w:t>
      </w:r>
      <w:r w:rsidRPr="005B1606">
        <w:rPr>
          <w:rFonts w:ascii="Times New Roman" w:hAnsi="Times New Roman" w:cs="Times New Roman"/>
          <w:i/>
          <w:iCs/>
          <w:sz w:val="24"/>
          <w:szCs w:val="24"/>
        </w:rPr>
        <w:t>34</w:t>
      </w:r>
      <w:r w:rsidRPr="005B1606">
        <w:rPr>
          <w:rFonts w:ascii="Times New Roman" w:hAnsi="Times New Roman" w:cs="Times New Roman"/>
          <w:sz w:val="24"/>
          <w:szCs w:val="24"/>
        </w:rPr>
        <w:t>(4), 461-465. </w:t>
      </w:r>
      <w:hyperlink r:id="rId8" w:history="1">
        <w:r w:rsidRPr="005B1606">
          <w:rPr>
            <w:rStyle w:val="Hyperlink"/>
            <w:rFonts w:ascii="Times New Roman" w:hAnsi="Times New Roman" w:cs="Times New Roman"/>
            <w:sz w:val="24"/>
            <w:szCs w:val="24"/>
          </w:rPr>
          <w:t>https://doi.org/10.1177/0890117120915113f</w:t>
        </w:r>
      </w:hyperlink>
    </w:p>
    <w:p w:rsidR="005B1606" w:rsidRPr="005B1606" w:rsidP="005B1606">
      <w:pPr>
        <w:spacing w:line="480" w:lineRule="auto"/>
        <w:contextualSpacing/>
        <w:rPr>
          <w:rFonts w:ascii="Times New Roman" w:hAnsi="Times New Roman" w:cs="Times New Roman"/>
          <w:sz w:val="24"/>
          <w:szCs w:val="24"/>
        </w:rPr>
      </w:pPr>
    </w:p>
    <w:p w:rsidR="005B1606" w:rsidRPr="005B1606" w:rsidP="005B1606">
      <w:pPr>
        <w:spacing w:line="480" w:lineRule="auto"/>
        <w:contextualSpacing/>
        <w:rPr>
          <w:rFonts w:ascii="Times New Roman" w:hAnsi="Times New Roman" w:cs="Times New Roman"/>
          <w:sz w:val="24"/>
          <w:szCs w:val="24"/>
        </w:rPr>
      </w:pPr>
    </w:p>
    <w:p w:rsidR="005B1606" w:rsidRPr="005B1606" w:rsidP="005B1606">
      <w:pPr>
        <w:spacing w:line="480" w:lineRule="auto"/>
        <w:contextualSpacing/>
        <w:rPr>
          <w:rFonts w:ascii="Times New Roman" w:hAnsi="Times New Roman" w:cs="Times New Roman"/>
          <w:sz w:val="24"/>
          <w:szCs w:val="24"/>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762452"/>
      <w:docPartObj>
        <w:docPartGallery w:val="Page Numbers (Top of Page)"/>
        <w:docPartUnique/>
      </w:docPartObj>
    </w:sdtPr>
    <w:sdtEndPr>
      <w:rPr>
        <w:rFonts w:ascii="Times New Roman" w:hAnsi="Times New Roman" w:cs="Times New Roman"/>
        <w:noProof/>
        <w:sz w:val="24"/>
        <w:szCs w:val="24"/>
      </w:rPr>
    </w:sdtEndPr>
    <w:sdtContent>
      <w:p w:rsidR="005B1606" w:rsidRPr="005B1606" w:rsidP="005B1606">
        <w:pPr>
          <w:pStyle w:val="Header"/>
          <w:jc w:val="right"/>
          <w:rPr>
            <w:rFonts w:ascii="Times New Roman" w:hAnsi="Times New Roman" w:cs="Times New Roman"/>
            <w:sz w:val="24"/>
            <w:szCs w:val="24"/>
          </w:rPr>
        </w:pPr>
        <w:r w:rsidRPr="005B1606">
          <w:rPr>
            <w:rFonts w:ascii="Times New Roman" w:hAnsi="Times New Roman" w:cs="Times New Roman"/>
            <w:sz w:val="24"/>
            <w:szCs w:val="24"/>
          </w:rPr>
          <w:fldChar w:fldCharType="begin"/>
        </w:r>
        <w:r w:rsidRPr="005B1606">
          <w:rPr>
            <w:rFonts w:ascii="Times New Roman" w:hAnsi="Times New Roman" w:cs="Times New Roman"/>
            <w:sz w:val="24"/>
            <w:szCs w:val="24"/>
          </w:rPr>
          <w:instrText xml:space="preserve"> PAGE   \* MERGEFORMAT </w:instrText>
        </w:r>
        <w:r w:rsidRPr="005B1606">
          <w:rPr>
            <w:rFonts w:ascii="Times New Roman" w:hAnsi="Times New Roman" w:cs="Times New Roman"/>
            <w:sz w:val="24"/>
            <w:szCs w:val="24"/>
          </w:rPr>
          <w:fldChar w:fldCharType="separate"/>
        </w:r>
        <w:r w:rsidR="008E3A39">
          <w:rPr>
            <w:rFonts w:ascii="Times New Roman" w:hAnsi="Times New Roman" w:cs="Times New Roman"/>
            <w:noProof/>
            <w:sz w:val="24"/>
            <w:szCs w:val="24"/>
          </w:rPr>
          <w:t>12</w:t>
        </w:r>
        <w:r w:rsidRPr="005B160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32F1C"/>
    <w:multiLevelType w:val="multilevel"/>
    <w:tmpl w:val="DFB2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4A5E10"/>
    <w:multiLevelType w:val="hybridMultilevel"/>
    <w:tmpl w:val="902080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9A"/>
    <w:rsid w:val="00255DF4"/>
    <w:rsid w:val="005B1606"/>
    <w:rsid w:val="006A7CD2"/>
    <w:rsid w:val="006F22D2"/>
    <w:rsid w:val="008E3A39"/>
    <w:rsid w:val="00BA2D6F"/>
    <w:rsid w:val="00BC679A"/>
    <w:rsid w:val="00E3316C"/>
    <w:rsid w:val="00E65B21"/>
    <w:rsid w:val="00FA1825"/>
    <w:rsid w:val="00FB3E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830258F-53DE-436E-93FA-EA1262FD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CD2"/>
    <w:pPr>
      <w:ind w:left="720"/>
      <w:contextualSpacing/>
    </w:pPr>
  </w:style>
  <w:style w:type="character" w:styleId="Hyperlink">
    <w:name w:val="Hyperlink"/>
    <w:basedOn w:val="DefaultParagraphFont"/>
    <w:uiPriority w:val="99"/>
    <w:unhideWhenUsed/>
    <w:rsid w:val="005B1606"/>
    <w:rPr>
      <w:color w:val="0563C1" w:themeColor="hyperlink"/>
      <w:u w:val="single"/>
    </w:rPr>
  </w:style>
  <w:style w:type="paragraph" w:styleId="Header">
    <w:name w:val="header"/>
    <w:basedOn w:val="Normal"/>
    <w:link w:val="HeaderChar"/>
    <w:uiPriority w:val="99"/>
    <w:unhideWhenUsed/>
    <w:rsid w:val="005B1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06"/>
  </w:style>
  <w:style w:type="paragraph" w:styleId="Footer">
    <w:name w:val="footer"/>
    <w:basedOn w:val="Normal"/>
    <w:link w:val="FooterChar"/>
    <w:uiPriority w:val="99"/>
    <w:unhideWhenUsed/>
    <w:rsid w:val="005B1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i.org/10.1177/1090198121997744" TargetMode="External" /><Relationship Id="rId5" Type="http://schemas.openxmlformats.org/officeDocument/2006/relationships/hyperlink" Target="https://doi.org/10.1097/phh.0000000000001297" TargetMode="External" /><Relationship Id="rId6" Type="http://schemas.openxmlformats.org/officeDocument/2006/relationships/hyperlink" Target="https://doi.org/10.1097/phh.0000000000001424" TargetMode="External" /><Relationship Id="rId7" Type="http://schemas.openxmlformats.org/officeDocument/2006/relationships/hyperlink" Target="https://doi.org/10.1249/fit.0000000000000600" TargetMode="External" /><Relationship Id="rId8" Type="http://schemas.openxmlformats.org/officeDocument/2006/relationships/hyperlink" Target="https://doi.org/10.1177/0890117120915113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2023-08-24T12:02:00Z</dcterms:created>
  <dcterms:modified xsi:type="dcterms:W3CDTF">2023-08-24T13:19:00Z</dcterms:modified>
</cp:coreProperties>
</file>