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both"/>
        <w:rPr>
          <w:b w:val="1"/>
        </w:rPr>
      </w:pPr>
      <w:bookmarkStart w:colFirst="0" w:colLast="0" w:name="_f83xqui5500x" w:id="0"/>
      <w:bookmarkEnd w:id="0"/>
      <w:r w:rsidDel="00000000" w:rsidR="00000000" w:rsidRPr="00000000">
        <w:rPr>
          <w:rtl w:val="0"/>
        </w:rPr>
      </w:r>
    </w:p>
    <w:p w:rsidR="00000000" w:rsidDel="00000000" w:rsidP="00000000" w:rsidRDefault="00000000" w:rsidRPr="00000000" w14:paraId="00000002">
      <w:pPr>
        <w:pStyle w:val="Title"/>
        <w:jc w:val="both"/>
        <w:rPr>
          <w:b w:val="1"/>
        </w:rPr>
      </w:pPr>
      <w:bookmarkStart w:colFirst="0" w:colLast="0" w:name="_js64oe4ec9wf" w:id="1"/>
      <w:bookmarkEnd w:id="1"/>
      <w:r w:rsidDel="00000000" w:rsidR="00000000" w:rsidRPr="00000000">
        <w:rPr>
          <w:rtl w:val="0"/>
        </w:rPr>
      </w:r>
    </w:p>
    <w:p w:rsidR="00000000" w:rsidDel="00000000" w:rsidP="00000000" w:rsidRDefault="00000000" w:rsidRPr="00000000" w14:paraId="00000003">
      <w:pPr>
        <w:pStyle w:val="Title"/>
        <w:jc w:val="both"/>
        <w:rPr>
          <w:b w:val="1"/>
        </w:rPr>
      </w:pPr>
      <w:bookmarkStart w:colFirst="0" w:colLast="0" w:name="_yum9whp9csof" w:id="2"/>
      <w:bookmarkEnd w:id="2"/>
      <w:r w:rsidDel="00000000" w:rsidR="00000000" w:rsidRPr="00000000">
        <w:rPr>
          <w:rtl w:val="0"/>
        </w:rPr>
      </w:r>
    </w:p>
    <w:p w:rsidR="00000000" w:rsidDel="00000000" w:rsidP="00000000" w:rsidRDefault="00000000" w:rsidRPr="00000000" w14:paraId="00000004">
      <w:pPr>
        <w:pStyle w:val="Title"/>
        <w:jc w:val="both"/>
        <w:rPr>
          <w:b w:val="1"/>
        </w:rPr>
      </w:pPr>
      <w:bookmarkStart w:colFirst="0" w:colLast="0" w:name="_ed2xthb5rzv0" w:id="3"/>
      <w:bookmarkEnd w:id="3"/>
      <w:r w:rsidDel="00000000" w:rsidR="00000000" w:rsidRPr="00000000">
        <w:rPr>
          <w:b w:val="1"/>
          <w:rtl w:val="0"/>
        </w:rPr>
        <w:t xml:space="preserve">Distinguishing Between Business Channels</w:t>
      </w:r>
    </w:p>
    <w:p w:rsidR="00000000" w:rsidDel="00000000" w:rsidP="00000000" w:rsidRDefault="00000000" w:rsidRPr="00000000" w14:paraId="00000005">
      <w:pPr>
        <w:pStyle w:val="Title"/>
        <w:jc w:val="both"/>
        <w:rPr>
          <w:b w:val="1"/>
        </w:rPr>
      </w:pPr>
      <w:bookmarkStart w:colFirst="0" w:colLast="0" w:name="_2uau58i5yxdf" w:id="4"/>
      <w:bookmarkEnd w:id="4"/>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1"/>
        <w:jc w:val="both"/>
        <w:rPr>
          <w:rFonts w:ascii="Times New Roman" w:cs="Times New Roman" w:eastAsia="Times New Roman" w:hAnsi="Times New Roman"/>
          <w:b w:val="1"/>
          <w:sz w:val="32"/>
          <w:szCs w:val="32"/>
        </w:rPr>
      </w:pPr>
      <w:bookmarkStart w:colFirst="0" w:colLast="0" w:name="_v0eidl2gwb0" w:id="5"/>
      <w:bookmarkEnd w:id="5"/>
      <w:r w:rsidDel="00000000" w:rsidR="00000000" w:rsidRPr="00000000">
        <w:rPr>
          <w:rFonts w:ascii="Times New Roman" w:cs="Times New Roman" w:eastAsia="Times New Roman" w:hAnsi="Times New Roman"/>
          <w:b w:val="1"/>
          <w:sz w:val="32"/>
          <w:szCs w:val="32"/>
          <w:rtl w:val="0"/>
        </w:rPr>
        <w:t xml:space="preserve">Abstract</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world of modern business, truly grasping the diverse paths that goods and services travel is a crucial puzzle piece for smart decision-making and making the most out of resources. This paper takes on an adventure to explore the hidden differences among various business routes, shining a light on what makes them special, what helps them, and what can be challenging. By carefully looking at both traditional and online ways of doing business, as well as different methods of getting products to people, this study is on a mission to help us become better at running things smoothly in a changing economic world.</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Style w:val="Heading1"/>
        <w:jc w:val="both"/>
        <w:rPr>
          <w:rFonts w:ascii="Times New Roman" w:cs="Times New Roman" w:eastAsia="Times New Roman" w:hAnsi="Times New Roman"/>
          <w:b w:val="1"/>
          <w:sz w:val="32"/>
          <w:szCs w:val="32"/>
        </w:rPr>
      </w:pPr>
      <w:bookmarkStart w:colFirst="0" w:colLast="0" w:name="_9nuw32cgevh7" w:id="6"/>
      <w:bookmarkEnd w:id="6"/>
      <w:r w:rsidDel="00000000" w:rsidR="00000000" w:rsidRPr="00000000">
        <w:rPr>
          <w:rFonts w:ascii="Times New Roman" w:cs="Times New Roman" w:eastAsia="Times New Roman" w:hAnsi="Times New Roman"/>
          <w:b w:val="1"/>
          <w:sz w:val="32"/>
          <w:szCs w:val="32"/>
          <w:rtl w:val="0"/>
        </w:rPr>
        <w:t xml:space="preserve">Introduction</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business world, each route that products take has its own set of secrets that are pretty important. Knowing these secrets gives companies the power to smoothly move through the ups and downs of the market while also giving customers what they want. This study jumps right into the maze of business paths. It shows us how the old-school way of doing business, with physical stores and stuff, is different from the new way online. Plus, it looks at the ways companies directly give their stuff to customers or go through middlemen. All this exploring is here to help us see how to manage business money and operations better, making it a really helpful guide.</w:t>
      </w: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Style w:val="Heading1"/>
        <w:jc w:val="both"/>
        <w:rPr>
          <w:rFonts w:ascii="Times New Roman" w:cs="Times New Roman" w:eastAsia="Times New Roman" w:hAnsi="Times New Roman"/>
          <w:b w:val="1"/>
          <w:sz w:val="32"/>
          <w:szCs w:val="32"/>
        </w:rPr>
      </w:pPr>
      <w:bookmarkStart w:colFirst="0" w:colLast="0" w:name="_6rfgvdfeb5wx" w:id="7"/>
      <w:bookmarkEnd w:id="7"/>
      <w:r w:rsidDel="00000000" w:rsidR="00000000" w:rsidRPr="00000000">
        <w:rPr>
          <w:rFonts w:ascii="Times New Roman" w:cs="Times New Roman" w:eastAsia="Times New Roman" w:hAnsi="Times New Roman"/>
          <w:b w:val="1"/>
          <w:sz w:val="32"/>
          <w:szCs w:val="32"/>
          <w:rtl w:val="0"/>
        </w:rPr>
        <w:t xml:space="preserve">Literature Review</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2"/>
        <w:jc w:val="both"/>
        <w:rPr>
          <w:rFonts w:ascii="Times New Roman" w:cs="Times New Roman" w:eastAsia="Times New Roman" w:hAnsi="Times New Roman"/>
          <w:b w:val="1"/>
          <w:sz w:val="24"/>
          <w:szCs w:val="24"/>
        </w:rPr>
      </w:pPr>
      <w:bookmarkStart w:colFirst="0" w:colLast="0" w:name="_f9fjz3kdmowu" w:id="8"/>
      <w:bookmarkEnd w:id="8"/>
      <w:r w:rsidDel="00000000" w:rsidR="00000000" w:rsidRPr="00000000">
        <w:rPr>
          <w:rFonts w:ascii="Times New Roman" w:cs="Times New Roman" w:eastAsia="Times New Roman" w:hAnsi="Times New Roman"/>
          <w:b w:val="1"/>
          <w:sz w:val="24"/>
          <w:szCs w:val="24"/>
          <w:rtl w:val="0"/>
        </w:rPr>
        <w:t xml:space="preserve">Offline Business Channels</w:t>
      </w:r>
    </w:p>
    <w:p w:rsidR="00000000" w:rsidDel="00000000" w:rsidP="00000000" w:rsidRDefault="00000000" w:rsidRPr="00000000" w14:paraId="00000043">
      <w:pPr>
        <w:pStyle w:val="Heading2"/>
        <w:jc w:val="both"/>
        <w:rPr>
          <w:rFonts w:ascii="Times New Roman" w:cs="Times New Roman" w:eastAsia="Times New Roman" w:hAnsi="Times New Roman"/>
          <w:sz w:val="24"/>
          <w:szCs w:val="24"/>
        </w:rPr>
      </w:pPr>
      <w:bookmarkStart w:colFirst="0" w:colLast="0" w:name="_j0z0g6f5i74h" w:id="9"/>
      <w:bookmarkEnd w:id="9"/>
      <w:r w:rsidDel="00000000" w:rsidR="00000000" w:rsidRPr="00000000">
        <w:rPr>
          <w:rFonts w:ascii="Times New Roman" w:cs="Times New Roman" w:eastAsia="Times New Roman" w:hAnsi="Times New Roman"/>
          <w:sz w:val="24"/>
          <w:szCs w:val="24"/>
          <w:rtl w:val="0"/>
        </w:rPr>
        <w:t xml:space="preserve">The conventional offline channels encompass an assortment of age-old avenues for engaging consumers, spanning brick-and-mortar retail establishments, wholesaler networks, and intermediaries. These conduits endow consumers with a tangible encounter, allowing them to intimately acquaint themselves with products before purchase. However, they often entail augmented overhead expenses and geographic limitations. Dissecting offline channels necessitates an evaluation of pivotal elements, encompassing strategic site selection, meticulous visual merchandising, and the intricacies of supply chain orchestration.</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Style w:val="Heading2"/>
        <w:jc w:val="both"/>
        <w:rPr>
          <w:rFonts w:ascii="Times New Roman" w:cs="Times New Roman" w:eastAsia="Times New Roman" w:hAnsi="Times New Roman"/>
          <w:b w:val="1"/>
          <w:sz w:val="24"/>
          <w:szCs w:val="24"/>
        </w:rPr>
      </w:pPr>
      <w:bookmarkStart w:colFirst="0" w:colLast="0" w:name="_g73itq2bxu69" w:id="10"/>
      <w:bookmarkEnd w:id="10"/>
      <w:r w:rsidDel="00000000" w:rsidR="00000000" w:rsidRPr="00000000">
        <w:rPr>
          <w:rFonts w:ascii="Times New Roman" w:cs="Times New Roman" w:eastAsia="Times New Roman" w:hAnsi="Times New Roman"/>
          <w:b w:val="1"/>
          <w:sz w:val="24"/>
          <w:szCs w:val="24"/>
          <w:rtl w:val="0"/>
        </w:rPr>
        <w:t xml:space="preserve">Online Business Channels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channels, on the contrary, usher in a digital epoch, encompassing diverse mediums, from e-commerce platforms to mobile applications and pervasive social media conduits. These channels are heralded for their convenience and borderless reach, offering invaluable insights into consumer behaviors. Nevertheless, this realm is characterized by fierce competition, compelling businesses to invest in digital marketing prowess, user interface finesse, and the safeguarding of digital interactions. Scrutinizing online channels mandates an inquisition into search engine optimization, user experience enhancement, and the labyrinthine web of order fulfillment logistics.</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Style w:val="Heading2"/>
        <w:jc w:val="both"/>
        <w:rPr>
          <w:rFonts w:ascii="Times New Roman" w:cs="Times New Roman" w:eastAsia="Times New Roman" w:hAnsi="Times New Roman"/>
          <w:b w:val="1"/>
          <w:sz w:val="24"/>
          <w:szCs w:val="24"/>
        </w:rPr>
      </w:pPr>
      <w:bookmarkStart w:colFirst="0" w:colLast="0" w:name="_rfxxw3cyzrhh" w:id="11"/>
      <w:bookmarkEnd w:id="11"/>
      <w:r w:rsidDel="00000000" w:rsidR="00000000" w:rsidRPr="00000000">
        <w:rPr>
          <w:rFonts w:ascii="Times New Roman" w:cs="Times New Roman" w:eastAsia="Times New Roman" w:hAnsi="Times New Roman"/>
          <w:b w:val="1"/>
          <w:sz w:val="24"/>
          <w:szCs w:val="24"/>
          <w:rtl w:val="0"/>
        </w:rPr>
        <w:t xml:space="preserve">Direct Distribution Methods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direct distribution paradigm predicates upon a model wherein goods or services are directly proffered to end-users, bypassing intermediaries. This approach furnishes enterprises with heightened jurisdiction over brand identity, customer relationships, and pricing determinations. However, this autonomy necessitates substantial investments in marketing campaigns and the requisite distribution infrastructure. The anatomy of direct distribution warrants an exploration of avant-garde strategies like subscription models, innovative customer retention frameworks, and the precision of bespoke marketing tactics.</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Style w:val="Heading2"/>
        <w:jc w:val="both"/>
        <w:rPr>
          <w:rFonts w:ascii="Times New Roman" w:cs="Times New Roman" w:eastAsia="Times New Roman" w:hAnsi="Times New Roman"/>
          <w:b w:val="1"/>
          <w:sz w:val="24"/>
          <w:szCs w:val="24"/>
        </w:rPr>
      </w:pPr>
      <w:bookmarkStart w:colFirst="0" w:colLast="0" w:name="_um9yhdqghv62" w:id="12"/>
      <w:bookmarkEnd w:id="12"/>
      <w:r w:rsidDel="00000000" w:rsidR="00000000" w:rsidRPr="00000000">
        <w:rPr>
          <w:rtl w:val="0"/>
        </w:rPr>
      </w:r>
    </w:p>
    <w:p w:rsidR="00000000" w:rsidDel="00000000" w:rsidP="00000000" w:rsidRDefault="00000000" w:rsidRPr="00000000" w14:paraId="0000004F">
      <w:pPr>
        <w:pStyle w:val="Heading2"/>
        <w:jc w:val="both"/>
        <w:rPr>
          <w:rFonts w:ascii="Times New Roman" w:cs="Times New Roman" w:eastAsia="Times New Roman" w:hAnsi="Times New Roman"/>
          <w:b w:val="1"/>
          <w:sz w:val="24"/>
          <w:szCs w:val="24"/>
        </w:rPr>
      </w:pPr>
      <w:bookmarkStart w:colFirst="0" w:colLast="0" w:name="_di3wndfv09qf" w:id="13"/>
      <w:bookmarkEnd w:id="13"/>
      <w:r w:rsidDel="00000000" w:rsidR="00000000" w:rsidRPr="00000000">
        <w:rPr>
          <w:rFonts w:ascii="Times New Roman" w:cs="Times New Roman" w:eastAsia="Times New Roman" w:hAnsi="Times New Roman"/>
          <w:b w:val="1"/>
          <w:sz w:val="24"/>
          <w:szCs w:val="24"/>
          <w:rtl w:val="0"/>
        </w:rPr>
        <w:t xml:space="preserve">Indirect Distribution Methods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contrast, indirect distribution models are characterized by the involvement of intermediaries, including wholesalers, retailers, and agents, in mediating the exchange between producers and consumers. This multifaceted approach extends enterprises a broader market reach and mitigates logistical intricacies. However, it often curtails direct control over pricing dynamics and the evolution of customer interactions. Grasping the nuances of indirect distribution entails an examination of intricate facets, spanning partner selection criteria, the formulation of contractual agreements, and the astute resolution of potential channel conflicts.</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pStyle w:val="Heading2"/>
        <w:jc w:val="both"/>
        <w:rPr>
          <w:rFonts w:ascii="Times New Roman" w:cs="Times New Roman" w:eastAsia="Times New Roman" w:hAnsi="Times New Roman"/>
          <w:b w:val="1"/>
          <w:sz w:val="24"/>
          <w:szCs w:val="24"/>
        </w:rPr>
      </w:pPr>
      <w:bookmarkStart w:colFirst="0" w:colLast="0" w:name="_t8gjn58jer99" w:id="14"/>
      <w:bookmarkEnd w:id="14"/>
      <w:r w:rsidDel="00000000" w:rsidR="00000000" w:rsidRPr="00000000">
        <w:rPr>
          <w:rFonts w:ascii="Times New Roman" w:cs="Times New Roman" w:eastAsia="Times New Roman" w:hAnsi="Times New Roman"/>
          <w:b w:val="1"/>
          <w:sz w:val="24"/>
          <w:szCs w:val="24"/>
          <w:rtl w:val="0"/>
        </w:rPr>
        <w:t xml:space="preserve">Strategies for Optimizing Business Channels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Synchronizing business channels with overarching business objectives mandates a multi-pronged approach, often necessitating the harmonious amalgamation of traditional and digital avenues, as well as a judicious blend of direct and indirect modes of dissemination. Paramount in this endeavor is the task of discerning consumer proclivities, meticulously probing the terrain through extensive market research endeavors, and adroitly adapting to the ceaseless evolution of technological paradigms. Furthermore, paramount is the provision of a seamless and immersive consumer experience across heterogeneous channels, underscoring the inevitability of prioritizing customer-centricity.</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Style w:val="Heading1"/>
        <w:jc w:val="both"/>
        <w:rPr>
          <w:rFonts w:ascii="Times New Roman" w:cs="Times New Roman" w:eastAsia="Times New Roman" w:hAnsi="Times New Roman"/>
          <w:b w:val="1"/>
          <w:sz w:val="32"/>
          <w:szCs w:val="32"/>
        </w:rPr>
      </w:pPr>
      <w:bookmarkStart w:colFirst="0" w:colLast="0" w:name="_76z2u8i6239h" w:id="15"/>
      <w:bookmarkEnd w:id="15"/>
      <w:r w:rsidDel="00000000" w:rsidR="00000000" w:rsidRPr="00000000">
        <w:rPr>
          <w:rFonts w:ascii="Times New Roman" w:cs="Times New Roman" w:eastAsia="Times New Roman" w:hAnsi="Times New Roman"/>
          <w:b w:val="1"/>
          <w:sz w:val="32"/>
          <w:szCs w:val="32"/>
          <w:rtl w:val="0"/>
        </w:rPr>
        <w:t xml:space="preserve">Conclusion</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tapestry of contemporary business finance and operational dexterity, the ability to differentially decode and distinguish among variegated business channels occupies a central role. The spectrum spanning offline and online channels, interwoven with the dichotomy between direct and indirect distribution routes, proffers manifold prospects and pitfalls. It is within this nuanced understanding that enterprises forge their identities, ameliorate customer interactions, and optimize the allocation of finite resources. Armed with this comprehensively evolved perspective, businesses are poised to adeptly traverse the intricacies of a fluid commercial milieu, championing the pursuit of operational excellence.</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Style w:val="Heading1"/>
        <w:jc w:val="both"/>
        <w:rPr>
          <w:rFonts w:ascii="Times New Roman" w:cs="Times New Roman" w:eastAsia="Times New Roman" w:hAnsi="Times New Roman"/>
          <w:b w:val="1"/>
          <w:sz w:val="32"/>
          <w:szCs w:val="32"/>
        </w:rPr>
      </w:pPr>
      <w:bookmarkStart w:colFirst="0" w:colLast="0" w:name="_ujle6cjzaz2t" w:id="16"/>
      <w:bookmarkEnd w:id="16"/>
      <w:r w:rsidDel="00000000" w:rsidR="00000000" w:rsidRPr="00000000">
        <w:rPr>
          <w:rFonts w:ascii="Times New Roman" w:cs="Times New Roman" w:eastAsia="Times New Roman" w:hAnsi="Times New Roman"/>
          <w:b w:val="1"/>
          <w:sz w:val="32"/>
          <w:szCs w:val="32"/>
          <w:rtl w:val="0"/>
        </w:rPr>
        <w:t xml:space="preserve">References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keepLines w:val="1"/>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Kotler, P., &amp; Keller, K. L. (2016). Marketing management (15th ed.). Pearson.</w:t>
      </w:r>
    </w:p>
    <w:p w:rsidR="00000000" w:rsidDel="00000000" w:rsidP="00000000" w:rsidRDefault="00000000" w:rsidRPr="00000000" w14:paraId="0000006C">
      <w:pPr>
        <w:keepLines w:val="1"/>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keepLines w:val="1"/>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Laudon, K. C., &amp; Traver, C. G. (2020). E-commerce (15th ed.). Pearson.</w:t>
      </w:r>
    </w:p>
    <w:p w:rsidR="00000000" w:rsidDel="00000000" w:rsidP="00000000" w:rsidRDefault="00000000" w:rsidRPr="00000000" w14:paraId="0000006E">
      <w:pPr>
        <w:keepLines w:val="1"/>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keepLines w:val="1"/>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Coughlan, A. T., Anderson, E., Stern, L. W., &amp; El-Ansary, A. I. (2016). Marketing channels (8th ed.). Pearson.</w:t>
      </w:r>
    </w:p>
    <w:p w:rsidR="00000000" w:rsidDel="00000000" w:rsidP="00000000" w:rsidRDefault="00000000" w:rsidRPr="00000000" w14:paraId="00000070">
      <w:pPr>
        <w:keepLines w:val="1"/>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keepLines w:val="1"/>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Turban, E., Outland, J., King, D., Lee, J., &amp; Liang, T. P. (2017). Electronic commerce: A managerial and social networks perspective (9th ed.). Springer.</w:t>
      </w:r>
    </w:p>
    <w:p w:rsidR="00000000" w:rsidDel="00000000" w:rsidP="00000000" w:rsidRDefault="00000000" w:rsidRPr="00000000" w14:paraId="00000072">
      <w:pPr>
        <w:keepLines w:val="1"/>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keepLines w:val="1"/>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Berman, B., &amp; Evans, J. R. (2018). Retail management: A strategic approach (13th ed.). Pearson.</w:t>
      </w:r>
    </w:p>
    <w:p w:rsidR="00000000" w:rsidDel="00000000" w:rsidP="00000000" w:rsidRDefault="00000000" w:rsidRPr="00000000" w14:paraId="00000074">
      <w:pPr>
        <w:ind w:left="720" w:firstLine="0"/>
        <w:rPr/>
      </w:pPr>
      <w:r w:rsidDel="00000000" w:rsidR="00000000" w:rsidRPr="00000000">
        <w:rPr>
          <w:rtl w:val="0"/>
        </w:rPr>
      </w:r>
    </w:p>
    <w:sectPr>
      <w:headerReference r:id="rId6" w:type="default"/>
      <w:headerReference r:id="rId7"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