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BEF" w:rsidRDefault="00645BEF" w:rsidP="00645BEF">
      <w:pPr>
        <w:jc w:val="center"/>
        <w:rPr>
          <w:rFonts w:eastAsia="Times New Roman" w:cs="Times New Roman"/>
          <w:b/>
          <w:bCs/>
          <w:szCs w:val="24"/>
        </w:rPr>
      </w:pPr>
    </w:p>
    <w:p w:rsidR="00645BEF" w:rsidRDefault="00645BEF" w:rsidP="00645BEF">
      <w:pPr>
        <w:jc w:val="center"/>
        <w:rPr>
          <w:rFonts w:eastAsia="Times New Roman" w:cs="Times New Roman"/>
          <w:b/>
          <w:bCs/>
          <w:szCs w:val="24"/>
        </w:rPr>
      </w:pPr>
    </w:p>
    <w:p w:rsidR="00645BEF" w:rsidRDefault="00645BEF" w:rsidP="00645BEF">
      <w:pPr>
        <w:jc w:val="center"/>
        <w:rPr>
          <w:rFonts w:eastAsia="Times New Roman" w:cs="Times New Roman"/>
          <w:b/>
          <w:bCs/>
          <w:szCs w:val="24"/>
        </w:rPr>
      </w:pPr>
    </w:p>
    <w:p w:rsidR="00645BEF" w:rsidRDefault="00645BEF" w:rsidP="00645BEF">
      <w:pPr>
        <w:jc w:val="center"/>
        <w:rPr>
          <w:rFonts w:eastAsia="Times New Roman" w:cs="Times New Roman"/>
          <w:b/>
          <w:bCs/>
          <w:szCs w:val="24"/>
        </w:rPr>
      </w:pPr>
    </w:p>
    <w:p w:rsidR="00645BEF" w:rsidRPr="00D853A8" w:rsidRDefault="00645BEF" w:rsidP="00645BEF">
      <w:pPr>
        <w:jc w:val="center"/>
        <w:rPr>
          <w:rFonts w:eastAsia="Times New Roman" w:cs="Times New Roman"/>
          <w:b/>
          <w:bCs/>
          <w:szCs w:val="24"/>
        </w:rPr>
      </w:pPr>
      <w:r w:rsidRPr="00D853A8">
        <w:rPr>
          <w:rFonts w:eastAsia="Times New Roman" w:cs="Times New Roman"/>
          <w:b/>
          <w:bCs/>
          <w:szCs w:val="24"/>
        </w:rPr>
        <w:t>Risk in Increasing Business and Cultural Contracts Between Nations</w:t>
      </w:r>
    </w:p>
    <w:p w:rsidR="00645BEF" w:rsidRDefault="00645BEF" w:rsidP="00645BEF">
      <w:pPr>
        <w:jc w:val="center"/>
        <w:rPr>
          <w:b/>
        </w:rPr>
      </w:pPr>
    </w:p>
    <w:p w:rsidR="00AC50E9" w:rsidRPr="00D853A8" w:rsidRDefault="00AC50E9" w:rsidP="00645BEF">
      <w:pPr>
        <w:jc w:val="center"/>
        <w:rPr>
          <w:b/>
        </w:rPr>
      </w:pPr>
    </w:p>
    <w:p w:rsidR="00645BEF" w:rsidRPr="00D853A8" w:rsidRDefault="00645BEF" w:rsidP="00645BEF">
      <w:pPr>
        <w:jc w:val="center"/>
        <w:rPr>
          <w:b/>
        </w:rPr>
      </w:pPr>
    </w:p>
    <w:p w:rsidR="00645BEF" w:rsidRPr="00D853A8" w:rsidRDefault="00645BEF" w:rsidP="00645BEF">
      <w:pPr>
        <w:jc w:val="center"/>
        <w:rPr>
          <w:b/>
          <w:lang w:val="en-US"/>
        </w:rPr>
      </w:pPr>
      <w:r w:rsidRPr="00D853A8">
        <w:rPr>
          <w:b/>
          <w:lang w:val="en-US"/>
        </w:rPr>
        <w:t>Name</w:t>
      </w:r>
    </w:p>
    <w:p w:rsidR="00645BEF" w:rsidRPr="00D853A8" w:rsidRDefault="00645BEF" w:rsidP="00645BEF">
      <w:pPr>
        <w:jc w:val="center"/>
        <w:rPr>
          <w:b/>
          <w:lang w:val="en-US"/>
        </w:rPr>
      </w:pPr>
      <w:r w:rsidRPr="00D853A8">
        <w:rPr>
          <w:b/>
          <w:lang w:val="en-US"/>
        </w:rPr>
        <w:t>Institution</w:t>
      </w:r>
    </w:p>
    <w:p w:rsidR="00645BEF" w:rsidRPr="00D853A8" w:rsidRDefault="00645BEF" w:rsidP="00645BEF">
      <w:pPr>
        <w:jc w:val="center"/>
        <w:rPr>
          <w:b/>
          <w:lang w:val="en-US"/>
        </w:rPr>
      </w:pPr>
      <w:r w:rsidRPr="00D853A8">
        <w:rPr>
          <w:b/>
          <w:lang w:val="en-US"/>
        </w:rPr>
        <w:t xml:space="preserve">Course </w:t>
      </w:r>
    </w:p>
    <w:p w:rsidR="00645BEF" w:rsidRPr="00D853A8" w:rsidRDefault="00645BEF" w:rsidP="00645BEF">
      <w:pPr>
        <w:jc w:val="center"/>
        <w:rPr>
          <w:b/>
          <w:lang w:val="en-US"/>
        </w:rPr>
      </w:pPr>
      <w:r w:rsidRPr="00D853A8">
        <w:rPr>
          <w:b/>
          <w:lang w:val="en-US"/>
        </w:rPr>
        <w:t>Unit code</w:t>
      </w:r>
    </w:p>
    <w:p w:rsidR="00645BEF" w:rsidRPr="00D853A8" w:rsidRDefault="00645BEF" w:rsidP="00645BEF">
      <w:pPr>
        <w:jc w:val="center"/>
        <w:rPr>
          <w:b/>
          <w:lang w:val="en-US"/>
        </w:rPr>
      </w:pPr>
      <w:r w:rsidRPr="00D853A8">
        <w:rPr>
          <w:b/>
          <w:lang w:val="en-US"/>
        </w:rPr>
        <w:t>Instructor Name</w:t>
      </w:r>
    </w:p>
    <w:p w:rsidR="00645BEF" w:rsidRPr="00D853A8" w:rsidRDefault="00645BEF" w:rsidP="00645BEF">
      <w:pPr>
        <w:jc w:val="center"/>
        <w:rPr>
          <w:b/>
          <w:lang w:val="en-US"/>
        </w:rPr>
      </w:pPr>
      <w:r w:rsidRPr="00D853A8">
        <w:rPr>
          <w:b/>
          <w:lang w:val="en-US"/>
        </w:rPr>
        <w:t>Date</w:t>
      </w:r>
    </w:p>
    <w:p w:rsidR="00645BEF" w:rsidRDefault="00645BEF" w:rsidP="00645BEF">
      <w:pPr>
        <w:jc w:val="center"/>
        <w:rPr>
          <w:lang w:val="en-US"/>
        </w:rPr>
      </w:pPr>
    </w:p>
    <w:p w:rsidR="00645BEF" w:rsidRDefault="00645BEF" w:rsidP="00645BEF">
      <w:pPr>
        <w:jc w:val="center"/>
        <w:rPr>
          <w:lang w:val="en-US"/>
        </w:rPr>
      </w:pPr>
    </w:p>
    <w:p w:rsidR="00645BEF" w:rsidRDefault="00645BEF" w:rsidP="00645BEF">
      <w:pPr>
        <w:jc w:val="center"/>
        <w:rPr>
          <w:lang w:val="en-US"/>
        </w:rPr>
      </w:pPr>
    </w:p>
    <w:p w:rsidR="00645BEF" w:rsidRDefault="00645BEF" w:rsidP="00645BEF">
      <w:pPr>
        <w:jc w:val="center"/>
        <w:rPr>
          <w:lang w:val="en-US"/>
        </w:rPr>
      </w:pPr>
    </w:p>
    <w:p w:rsidR="00645BEF" w:rsidRDefault="00645BEF" w:rsidP="00645BEF">
      <w:pPr>
        <w:jc w:val="center"/>
        <w:rPr>
          <w:lang w:val="en-US"/>
        </w:rPr>
      </w:pPr>
    </w:p>
    <w:p w:rsidR="00645BEF" w:rsidRDefault="00645BEF" w:rsidP="00645BEF">
      <w:pPr>
        <w:jc w:val="center"/>
        <w:rPr>
          <w:lang w:val="en-US"/>
        </w:rPr>
      </w:pPr>
    </w:p>
    <w:p w:rsidR="00645BEF" w:rsidRDefault="00645BEF" w:rsidP="00645BEF">
      <w:pPr>
        <w:jc w:val="center"/>
        <w:rPr>
          <w:lang w:val="en-US"/>
        </w:rPr>
      </w:pPr>
    </w:p>
    <w:p w:rsidR="00645BEF" w:rsidRDefault="00645BEF" w:rsidP="00645BEF">
      <w:pPr>
        <w:jc w:val="center"/>
        <w:rPr>
          <w:lang w:val="en-US"/>
        </w:rPr>
      </w:pPr>
    </w:p>
    <w:p w:rsidR="00645BEF" w:rsidRDefault="00645BEF" w:rsidP="00645BEF">
      <w:pPr>
        <w:jc w:val="center"/>
        <w:rPr>
          <w:lang w:val="en-US"/>
        </w:rPr>
      </w:pPr>
    </w:p>
    <w:p w:rsidR="00645BEF" w:rsidRDefault="00645BEF" w:rsidP="00645BEF">
      <w:pPr>
        <w:jc w:val="center"/>
        <w:rPr>
          <w:lang w:val="en-US"/>
        </w:rPr>
      </w:pPr>
    </w:p>
    <w:p w:rsidR="00645BEF" w:rsidRDefault="00645BEF" w:rsidP="00D853A8">
      <w:pPr>
        <w:ind w:firstLine="720"/>
        <w:jc w:val="center"/>
      </w:pPr>
      <w:r>
        <w:rPr>
          <w:rFonts w:eastAsia="Times New Roman" w:cs="Times New Roman"/>
          <w:b/>
          <w:bCs/>
          <w:szCs w:val="24"/>
        </w:rPr>
        <w:lastRenderedPageBreak/>
        <w:t>Risk in Increasing Business and Cultural Contracts Between Nations</w:t>
      </w:r>
    </w:p>
    <w:p w:rsidR="00645BEF" w:rsidRDefault="00645BEF" w:rsidP="00D853A8">
      <w:pPr>
        <w:ind w:firstLine="720"/>
      </w:pPr>
      <w:r>
        <w:t>In today's globalizing world, contracts of international business and cultural cont</w:t>
      </w:r>
      <w:r w:rsidR="00AC50E9">
        <w:rPr>
          <w:lang w:val="en-US"/>
        </w:rPr>
        <w:t>r</w:t>
      </w:r>
      <w:r>
        <w:t xml:space="preserve">acts between nations are becoming very common. These contracts bring opportunities for economies' growth and development through culture exchange. But there too come forward some risks with these opportunities which have to be well </w:t>
      </w:r>
      <w:r w:rsidR="00D853A8">
        <w:t>analysed</w:t>
      </w:r>
      <w:r>
        <w:t xml:space="preserve"> and managed. This essay seeks to discuss the risks related to increasing business and culture contracts between nations highlighting the importance of understanding and mitigating them towards successful cross-national engagements.</w:t>
      </w:r>
    </w:p>
    <w:p w:rsidR="00645BEF" w:rsidRPr="00645BEF" w:rsidRDefault="00645BEF" w:rsidP="00D853A8">
      <w:pPr>
        <w:rPr>
          <w:b/>
        </w:rPr>
      </w:pPr>
      <w:r w:rsidRPr="00645BEF">
        <w:rPr>
          <w:b/>
        </w:rPr>
        <w:t>Political Risks</w:t>
      </w:r>
    </w:p>
    <w:p w:rsidR="00645BEF" w:rsidRDefault="00645BEF" w:rsidP="00D853A8">
      <w:pPr>
        <w:ind w:firstLine="720"/>
      </w:pPr>
      <w:r>
        <w:t>One of the major risks involved in increasing business and cultural contracts between nations is political stability. Politically related factors can have a huge impact on the outcome of such contracts. Changes in government policies regulations and that of new leadership readily interfere with business operations and cultural exchanges to the extent of causing sometimes mega fatalities in terms of financial loss. For instance, all of a sudden trade barriers or political tensions may obstruct the free flow of goods and services affecting the ability to make profits with long market coverage. Hence, business enterprises need to analyse the political scenario and need to develop certain backup plans to eliminate such risks.</w:t>
      </w:r>
    </w:p>
    <w:p w:rsidR="00645BEF" w:rsidRPr="00645BEF" w:rsidRDefault="00645BEF" w:rsidP="00D853A8">
      <w:pPr>
        <w:rPr>
          <w:b/>
        </w:rPr>
      </w:pPr>
      <w:r w:rsidRPr="00645BEF">
        <w:rPr>
          <w:b/>
        </w:rPr>
        <w:t>Economic Risks</w:t>
      </w:r>
    </w:p>
    <w:p w:rsidR="00645BEF" w:rsidRDefault="00645BEF" w:rsidP="00D853A8">
      <w:pPr>
        <w:ind w:firstLine="720"/>
      </w:pPr>
      <w:r>
        <w:t>Engagement</w:t>
      </w:r>
      <w:r>
        <w:rPr>
          <w:lang w:val="en-US"/>
        </w:rPr>
        <w:t>s</w:t>
      </w:r>
      <w:r>
        <w:t xml:space="preserve"> related to international business and cultural contracts also receive a fair amount of challenges due to economic risks. Both fluctuations in exchange rates inflation, as well as economic crises, may invigorate ill effects on the course of profitability. For example, a sudden depreciation of the country's currency may increase the cost of goods imported making the value of the contract less profitable. Notably is that in economic downturns, consumer purchasing power is reduced, in which case demand for products or services is </w:t>
      </w:r>
      <w:r>
        <w:lastRenderedPageBreak/>
        <w:t>affected. In this respect, proper market research could be regarded as a significant aspect for businesses to mitigate the economic risks with established strategies that help them in adjusting the changing indicators of an economy.</w:t>
      </w:r>
    </w:p>
    <w:p w:rsidR="00645BEF" w:rsidRPr="00645BEF" w:rsidRDefault="00645BEF" w:rsidP="00D853A8">
      <w:pPr>
        <w:rPr>
          <w:b/>
        </w:rPr>
      </w:pPr>
      <w:r w:rsidRPr="00645BEF">
        <w:rPr>
          <w:b/>
        </w:rPr>
        <w:t>Legal and Regulatory Risks</w:t>
      </w:r>
    </w:p>
    <w:p w:rsidR="00645BEF" w:rsidRDefault="00645BEF" w:rsidP="00D853A8">
      <w:pPr>
        <w:ind w:firstLine="720"/>
      </w:pPr>
      <w:r>
        <w:t>These types of risks are related to the disparities that arise among the nations in legal systems, intellectual property rights as well as contractual frameworks. These risks may lead to conflicts breaches of contracts and costly lawsuits. Insufficient protection of intellectual property rights in many nations may lead to the use or reproduction of proprietary technology or designs without authorization. For purposes of reducing the business legal and regulatory risks firms should consider seeking advice from law experts, proper drafting of contracts, and calling upon assistance for alternative dispute resolution mechanisms.</w:t>
      </w:r>
    </w:p>
    <w:p w:rsidR="00645BEF" w:rsidRPr="00645BEF" w:rsidRDefault="00645BEF" w:rsidP="00D853A8">
      <w:pPr>
        <w:rPr>
          <w:b/>
        </w:rPr>
      </w:pPr>
      <w:r w:rsidRPr="00645BEF">
        <w:rPr>
          <w:b/>
        </w:rPr>
        <w:t>Cultural and Communication Risks</w:t>
      </w:r>
    </w:p>
    <w:p w:rsidR="00645BEF" w:rsidRDefault="00645BEF" w:rsidP="00D853A8">
      <w:pPr>
        <w:ind w:firstLine="720"/>
      </w:pPr>
      <w:r>
        <w:t>Culture is part of business and cultural contracts that exist between countries. These will pose challenges and monetary problems among their counterparts because of differences in styles of communication values and social norms. For example, distinct strategies for deciding on negotiation choices and etiquettes of trading confine collaborations by conflicts. To mitigate these risks, investment in cultural training and intercultural communication skills pretends to be necessary for businesses. The move will undoubtedly foster mutual understanding respect and effective communication which significantly enhances the chances of successful outcomes.</w:t>
      </w:r>
    </w:p>
    <w:p w:rsidR="00645BEF" w:rsidRPr="00645BEF" w:rsidRDefault="00645BEF" w:rsidP="00D853A8">
      <w:pPr>
        <w:rPr>
          <w:b/>
        </w:rPr>
      </w:pPr>
      <w:r w:rsidRPr="00645BEF">
        <w:rPr>
          <w:b/>
        </w:rPr>
        <w:t>Reputational Risks</w:t>
      </w:r>
    </w:p>
    <w:p w:rsidR="00645BEF" w:rsidRDefault="00645BEF" w:rsidP="00D853A8">
      <w:pPr>
        <w:ind w:firstLine="720"/>
      </w:pPr>
      <w:r>
        <w:t xml:space="preserve">Reputational risk is another type of risk that businesses are faced with when engaging in business and cultural contracts between nations' organizations. Negative publicity may inflict damage to a company's image and the brand reputation with ethical dilemmas or cultural misunderstandings. For instance, public backlashes and boycotts may be a result of </w:t>
      </w:r>
      <w:r>
        <w:lastRenderedPageBreak/>
        <w:t>alleged labour rights violations or environmental damages in the host country. It is important, therefore, to note that the practice relating to social responsibility and transparency is among the ethical practices that are related to risk management and organizational efforts regarding minimizing reputational risks due to a strategy of building trust with stakeholders.</w:t>
      </w:r>
    </w:p>
    <w:p w:rsidR="00645BEF" w:rsidRPr="00645BEF" w:rsidRDefault="00645BEF" w:rsidP="00D853A8">
      <w:pPr>
        <w:rPr>
          <w:b/>
        </w:rPr>
      </w:pPr>
      <w:r w:rsidRPr="00645BEF">
        <w:rPr>
          <w:b/>
        </w:rPr>
        <w:t>Conclusion</w:t>
      </w:r>
    </w:p>
    <w:p w:rsidR="005B3B68" w:rsidRDefault="00645BEF" w:rsidP="00D853A8">
      <w:pPr>
        <w:ind w:firstLine="720"/>
      </w:pPr>
      <w:r>
        <w:t>Though several opportunities continue being created in an increasing light of magnitude through new business and cultural treaties between nations, attention must be paid to the risks. Issues, that need careful consideration and also proactive mitigation strategies, could be political instability economic fluctuation legal and regulatory differences cultural challenges, and reputational risks. By understanding such risks and investing in thorough research planning alongside cross-cultural competence, businesses can effectively navigate the marketplace of the globe fostering mutually beneficial relationships between nations.</w:t>
      </w:r>
    </w:p>
    <w:p w:rsidR="00645BEF" w:rsidRDefault="00645BEF" w:rsidP="00645BEF"/>
    <w:p w:rsidR="00645BEF" w:rsidRDefault="00645BEF" w:rsidP="00645BEF"/>
    <w:p w:rsidR="00645BEF" w:rsidRDefault="00645BEF" w:rsidP="00645BEF"/>
    <w:p w:rsidR="00645BEF" w:rsidRDefault="00645BEF" w:rsidP="00645BEF"/>
    <w:p w:rsidR="00645BEF" w:rsidRDefault="00645BEF" w:rsidP="00645BEF"/>
    <w:p w:rsidR="00645BEF" w:rsidRDefault="00645BEF" w:rsidP="00645BEF"/>
    <w:p w:rsidR="00645BEF" w:rsidRDefault="00645BEF" w:rsidP="00645BEF"/>
    <w:p w:rsidR="00645BEF" w:rsidRDefault="00645BEF" w:rsidP="00645BEF"/>
    <w:p w:rsidR="00645BEF" w:rsidRDefault="00645BEF" w:rsidP="00645BEF"/>
    <w:p w:rsidR="00645BEF" w:rsidRDefault="00645BEF" w:rsidP="00645BEF"/>
    <w:p w:rsidR="000D24B2" w:rsidRDefault="000D24B2" w:rsidP="00645BEF"/>
    <w:p w:rsidR="00645BEF" w:rsidRPr="000D24B2" w:rsidRDefault="00645BEF" w:rsidP="00645BEF">
      <w:pPr>
        <w:rPr>
          <w:rFonts w:cs="Times New Roman"/>
          <w:szCs w:val="24"/>
        </w:rPr>
      </w:pPr>
    </w:p>
    <w:p w:rsidR="00645BEF" w:rsidRPr="000D24B2" w:rsidRDefault="00645BEF" w:rsidP="00645BEF">
      <w:pPr>
        <w:jc w:val="center"/>
        <w:rPr>
          <w:rFonts w:cs="Times New Roman"/>
          <w:szCs w:val="24"/>
        </w:rPr>
      </w:pPr>
      <w:r w:rsidRPr="000D24B2">
        <w:rPr>
          <w:rFonts w:eastAsia="Times New Roman" w:cs="Times New Roman"/>
          <w:b/>
          <w:bCs/>
          <w:szCs w:val="24"/>
        </w:rPr>
        <w:lastRenderedPageBreak/>
        <w:t>References</w:t>
      </w:r>
    </w:p>
    <w:p w:rsidR="000D24B2" w:rsidRPr="000D24B2" w:rsidRDefault="000D24B2" w:rsidP="000D24B2">
      <w:pPr>
        <w:ind w:hanging="720"/>
        <w:rPr>
          <w:rFonts w:cs="Times New Roman"/>
          <w:color w:val="222222"/>
          <w:szCs w:val="24"/>
          <w:shd w:val="clear" w:color="auto" w:fill="FFFFFF"/>
        </w:rPr>
      </w:pPr>
      <w:r w:rsidRPr="000D24B2">
        <w:rPr>
          <w:rFonts w:cs="Times New Roman"/>
          <w:color w:val="222222"/>
          <w:szCs w:val="24"/>
          <w:shd w:val="clear" w:color="auto" w:fill="FFFFFF"/>
        </w:rPr>
        <w:t>Dang, Q. T., Jasovska, P., &amp; Rammal, H. G. (2020). International business-government relations: The risk management strategies of MNEs in emerging economies. </w:t>
      </w:r>
      <w:r w:rsidRPr="000D24B2">
        <w:rPr>
          <w:rFonts w:cs="Times New Roman"/>
          <w:i/>
          <w:iCs/>
          <w:color w:val="222222"/>
          <w:szCs w:val="24"/>
          <w:shd w:val="clear" w:color="auto" w:fill="FFFFFF"/>
        </w:rPr>
        <w:t>Journal of World Business</w:t>
      </w:r>
      <w:r w:rsidRPr="000D24B2">
        <w:rPr>
          <w:rFonts w:cs="Times New Roman"/>
          <w:color w:val="222222"/>
          <w:szCs w:val="24"/>
          <w:shd w:val="clear" w:color="auto" w:fill="FFFFFF"/>
        </w:rPr>
        <w:t>, </w:t>
      </w:r>
      <w:r w:rsidRPr="000D24B2">
        <w:rPr>
          <w:rFonts w:cs="Times New Roman"/>
          <w:i/>
          <w:iCs/>
          <w:color w:val="222222"/>
          <w:szCs w:val="24"/>
          <w:shd w:val="clear" w:color="auto" w:fill="FFFFFF"/>
        </w:rPr>
        <w:t>55</w:t>
      </w:r>
      <w:r w:rsidRPr="000D24B2">
        <w:rPr>
          <w:rFonts w:cs="Times New Roman"/>
          <w:color w:val="222222"/>
          <w:szCs w:val="24"/>
          <w:shd w:val="clear" w:color="auto" w:fill="FFFFFF"/>
        </w:rPr>
        <w:t>(1), 101042.</w:t>
      </w:r>
    </w:p>
    <w:p w:rsidR="000D24B2" w:rsidRPr="000D24B2" w:rsidRDefault="000D24B2" w:rsidP="000D24B2">
      <w:pPr>
        <w:spacing w:after="0"/>
        <w:ind w:hanging="720"/>
        <w:rPr>
          <w:rFonts w:cs="Times New Roman"/>
          <w:szCs w:val="24"/>
        </w:rPr>
      </w:pPr>
      <w:r w:rsidRPr="000D24B2">
        <w:rPr>
          <w:rFonts w:eastAsia="Times New Roman" w:cs="Times New Roman"/>
          <w:szCs w:val="24"/>
        </w:rPr>
        <w:t>Daniels, J. D., Radebaugh, L. H., &amp; Sullivan, D. P. (2018). International Business: Environments and Operations (16th ed.). Pearson.</w:t>
      </w:r>
    </w:p>
    <w:p w:rsidR="000D24B2" w:rsidRPr="000D24B2" w:rsidRDefault="000D24B2" w:rsidP="000D24B2">
      <w:pPr>
        <w:spacing w:after="0"/>
        <w:ind w:hanging="720"/>
        <w:rPr>
          <w:rFonts w:cs="Times New Roman"/>
          <w:szCs w:val="24"/>
        </w:rPr>
      </w:pPr>
      <w:r w:rsidRPr="000D24B2">
        <w:rPr>
          <w:rFonts w:eastAsia="Times New Roman" w:cs="Times New Roman"/>
          <w:szCs w:val="24"/>
        </w:rPr>
        <w:t>Hill, C. W. L., &amp; Hult, G. T. M. (2020). International Business: Competing in the Global Marketplace (12th ed.). McGraw-Hill Education.</w:t>
      </w:r>
    </w:p>
    <w:p w:rsidR="000D24B2" w:rsidRPr="000D24B2" w:rsidRDefault="000D24B2" w:rsidP="000D24B2">
      <w:pPr>
        <w:ind w:hanging="720"/>
        <w:rPr>
          <w:rFonts w:cs="Times New Roman"/>
          <w:color w:val="222222"/>
          <w:szCs w:val="24"/>
          <w:shd w:val="clear" w:color="auto" w:fill="FFFFFF"/>
        </w:rPr>
      </w:pPr>
      <w:r w:rsidRPr="000D24B2">
        <w:rPr>
          <w:rFonts w:cs="Times New Roman"/>
          <w:color w:val="222222"/>
          <w:szCs w:val="24"/>
          <w:shd w:val="clear" w:color="auto" w:fill="FFFFFF"/>
        </w:rPr>
        <w:t>Huang, L., Ma, M., &amp; Wang, X. (2022). Clan culture and risk-taking of Chinese enterprises. </w:t>
      </w:r>
      <w:r w:rsidRPr="000D24B2">
        <w:rPr>
          <w:rFonts w:cs="Times New Roman"/>
          <w:i/>
          <w:iCs/>
          <w:color w:val="222222"/>
          <w:szCs w:val="24"/>
          <w:shd w:val="clear" w:color="auto" w:fill="FFFFFF"/>
        </w:rPr>
        <w:t>China Economic Review</w:t>
      </w:r>
      <w:r w:rsidRPr="000D24B2">
        <w:rPr>
          <w:rFonts w:cs="Times New Roman"/>
          <w:color w:val="222222"/>
          <w:szCs w:val="24"/>
          <w:shd w:val="clear" w:color="auto" w:fill="FFFFFF"/>
        </w:rPr>
        <w:t>, </w:t>
      </w:r>
      <w:r w:rsidRPr="000D24B2">
        <w:rPr>
          <w:rFonts w:cs="Times New Roman"/>
          <w:i/>
          <w:iCs/>
          <w:color w:val="222222"/>
          <w:szCs w:val="24"/>
          <w:shd w:val="clear" w:color="auto" w:fill="FFFFFF"/>
        </w:rPr>
        <w:t>72</w:t>
      </w:r>
      <w:r w:rsidRPr="000D24B2">
        <w:rPr>
          <w:rFonts w:cs="Times New Roman"/>
          <w:color w:val="222222"/>
          <w:szCs w:val="24"/>
          <w:shd w:val="clear" w:color="auto" w:fill="FFFFFF"/>
        </w:rPr>
        <w:t>, 101763.</w:t>
      </w:r>
    </w:p>
    <w:p w:rsidR="000D24B2" w:rsidRPr="000D24B2" w:rsidRDefault="000D24B2" w:rsidP="000D24B2">
      <w:pPr>
        <w:ind w:hanging="720"/>
        <w:rPr>
          <w:rFonts w:cs="Times New Roman"/>
          <w:szCs w:val="24"/>
        </w:rPr>
      </w:pPr>
      <w:r w:rsidRPr="000D24B2">
        <w:rPr>
          <w:rFonts w:cs="Times New Roman"/>
          <w:color w:val="222222"/>
          <w:szCs w:val="24"/>
          <w:shd w:val="clear" w:color="auto" w:fill="FFFFFF"/>
        </w:rPr>
        <w:t>McNamara, A. J., &amp; Sepasgozar, S. M. (2021). Intelligent contract adoption in the construction industry: Concept development. </w:t>
      </w:r>
      <w:r w:rsidRPr="000D24B2">
        <w:rPr>
          <w:rFonts w:cs="Times New Roman"/>
          <w:i/>
          <w:iCs/>
          <w:color w:val="222222"/>
          <w:szCs w:val="24"/>
          <w:shd w:val="clear" w:color="auto" w:fill="FFFFFF"/>
        </w:rPr>
        <w:t>Automation in construction</w:t>
      </w:r>
      <w:r w:rsidRPr="000D24B2">
        <w:rPr>
          <w:rFonts w:cs="Times New Roman"/>
          <w:color w:val="222222"/>
          <w:szCs w:val="24"/>
          <w:shd w:val="clear" w:color="auto" w:fill="FFFFFF"/>
        </w:rPr>
        <w:t>, </w:t>
      </w:r>
      <w:r w:rsidRPr="000D24B2">
        <w:rPr>
          <w:rFonts w:cs="Times New Roman"/>
          <w:i/>
          <w:iCs/>
          <w:color w:val="222222"/>
          <w:szCs w:val="24"/>
          <w:shd w:val="clear" w:color="auto" w:fill="FFFFFF"/>
        </w:rPr>
        <w:t>122</w:t>
      </w:r>
      <w:r w:rsidRPr="000D24B2">
        <w:rPr>
          <w:rFonts w:cs="Times New Roman"/>
          <w:color w:val="222222"/>
          <w:szCs w:val="24"/>
          <w:shd w:val="clear" w:color="auto" w:fill="FFFFFF"/>
        </w:rPr>
        <w:t>, 103452.</w:t>
      </w:r>
    </w:p>
    <w:p w:rsidR="000D24B2" w:rsidRPr="000D24B2" w:rsidRDefault="000D24B2" w:rsidP="000D24B2">
      <w:pPr>
        <w:spacing w:after="0"/>
        <w:ind w:hanging="720"/>
        <w:rPr>
          <w:rFonts w:cs="Times New Roman"/>
          <w:szCs w:val="24"/>
        </w:rPr>
      </w:pPr>
      <w:r w:rsidRPr="000D24B2">
        <w:rPr>
          <w:rFonts w:eastAsia="Times New Roman" w:cs="Times New Roman"/>
          <w:szCs w:val="24"/>
        </w:rPr>
        <w:t>Morrison, J. (2019). The International Business Environment (4th ed.). Palgrave Macmillan.</w:t>
      </w:r>
    </w:p>
    <w:p w:rsidR="000D24B2" w:rsidRPr="000D24B2" w:rsidRDefault="000D24B2" w:rsidP="000D24B2">
      <w:pPr>
        <w:spacing w:after="0"/>
        <w:ind w:left="720" w:hanging="720"/>
        <w:rPr>
          <w:rFonts w:cs="Times New Roman"/>
          <w:szCs w:val="24"/>
        </w:rPr>
      </w:pPr>
      <w:r w:rsidRPr="000D24B2">
        <w:rPr>
          <w:rFonts w:eastAsia="Times New Roman" w:cs="Times New Roman"/>
          <w:szCs w:val="24"/>
        </w:rPr>
        <w:t>Rugman, A. M., &amp; Collinson, S. (2019). Internati</w:t>
      </w:r>
      <w:bookmarkStart w:id="0" w:name="_GoBack"/>
      <w:bookmarkEnd w:id="0"/>
      <w:r w:rsidRPr="000D24B2">
        <w:rPr>
          <w:rFonts w:eastAsia="Times New Roman" w:cs="Times New Roman"/>
          <w:szCs w:val="24"/>
        </w:rPr>
        <w:t>onal Business (8th ed.). Pearson.</w:t>
      </w:r>
    </w:p>
    <w:sectPr w:rsidR="000D24B2" w:rsidRPr="000D2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EF"/>
    <w:rsid w:val="000D24B2"/>
    <w:rsid w:val="005B3B68"/>
    <w:rsid w:val="00645BEF"/>
    <w:rsid w:val="00AC50E9"/>
    <w:rsid w:val="00D853A8"/>
    <w:rsid w:val="00E4512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CA8BC"/>
  <w15:chartTrackingRefBased/>
  <w15:docId w15:val="{D96D0B8F-6AA6-4EFC-AC94-21643331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KATAMA"/>
    <w:qFormat/>
    <w:rsid w:val="00E45129"/>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843</Words>
  <Characters>5126</Characters>
  <Application>Microsoft Office Word</Application>
  <DocSecurity>0</DocSecurity>
  <Lines>112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KUYALI</dc:creator>
  <cp:keywords/>
  <dc:description/>
  <cp:lastModifiedBy>KUYALI</cp:lastModifiedBy>
  <cp:revision>2</cp:revision>
  <dcterms:created xsi:type="dcterms:W3CDTF">2024-01-17T07:34:00Z</dcterms:created>
  <dcterms:modified xsi:type="dcterms:W3CDTF">2024-01-18T07:49:00Z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b976b55d-82ec-4157-aea4-d6c52b58f033</vt:lpwstr>
  </property>
</Properties>
</file>