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C2A3" w14:textId="71B04B38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Developing and implementing a safe patient handling policy in rehabilitation </w:t>
      </w:r>
      <w:r w:rsidRPr="00F93B98">
        <w:rPr>
          <w:rFonts w:ascii="Arial" w:hAnsi="Arial" w:cs="Arial"/>
          <w:sz w:val="28"/>
          <w:szCs w:val="28"/>
        </w:rPr>
        <w:t>centers</w:t>
      </w:r>
      <w:r w:rsidRPr="00F93B98">
        <w:rPr>
          <w:rFonts w:ascii="Arial" w:hAnsi="Arial" w:cs="Arial"/>
          <w:sz w:val="28"/>
          <w:szCs w:val="28"/>
        </w:rPr>
        <w:t xml:space="preserve"> is essential for promoting the safety, health, and dignity of both patients and healthcare workers. Rehabilitation </w:t>
      </w:r>
      <w:r w:rsidRPr="00F93B98">
        <w:rPr>
          <w:rFonts w:ascii="Arial" w:hAnsi="Arial" w:cs="Arial"/>
          <w:sz w:val="28"/>
          <w:szCs w:val="28"/>
        </w:rPr>
        <w:t>centers</w:t>
      </w:r>
      <w:r w:rsidRPr="00F93B98">
        <w:rPr>
          <w:rFonts w:ascii="Arial" w:hAnsi="Arial" w:cs="Arial"/>
          <w:sz w:val="28"/>
          <w:szCs w:val="28"/>
        </w:rPr>
        <w:t xml:space="preserve"> care for patients recovering from injuries, surgeries, disabilities, strokes, or chronic illnesses who often require assistance with mobility and daily activities. A comprehensive patient handling policy provides guidelines on how patients should be lifted, transferred, repositioned, and assisted safely.</w:t>
      </w:r>
    </w:p>
    <w:p w14:paraId="518DF37B" w14:textId="77777777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1. Prevention of Staff Injuries</w:t>
      </w:r>
    </w:p>
    <w:p w14:paraId="4DC290B9" w14:textId="7C052092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Healthcare workers in rehabilitation </w:t>
      </w:r>
      <w:r w:rsidRPr="00F93B98">
        <w:rPr>
          <w:rFonts w:ascii="Arial" w:hAnsi="Arial" w:cs="Arial"/>
          <w:sz w:val="28"/>
          <w:szCs w:val="28"/>
        </w:rPr>
        <w:t>centers</w:t>
      </w:r>
      <w:r w:rsidRPr="00F93B98">
        <w:rPr>
          <w:rFonts w:ascii="Arial" w:hAnsi="Arial" w:cs="Arial"/>
          <w:sz w:val="28"/>
          <w:szCs w:val="28"/>
        </w:rPr>
        <w:t xml:space="preserve"> are at high risk of musculoskeletal injuries due to repetitive lifting, bending, and transferring of patients. A safe patient handling policy reduces the risk of:</w:t>
      </w:r>
    </w:p>
    <w:p w14:paraId="3C36D748" w14:textId="77777777" w:rsidR="00F93B98" w:rsidRPr="00F93B98" w:rsidRDefault="00F93B98" w:rsidP="00F93B9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Back injuries </w:t>
      </w:r>
    </w:p>
    <w:p w14:paraId="1EEDC956" w14:textId="77777777" w:rsidR="00F93B98" w:rsidRPr="00F93B98" w:rsidRDefault="00F93B98" w:rsidP="00F93B9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Muscle strains </w:t>
      </w:r>
    </w:p>
    <w:p w14:paraId="2351BC77" w14:textId="77777777" w:rsidR="00F93B98" w:rsidRPr="00F93B98" w:rsidRDefault="00F93B98" w:rsidP="00F93B9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Shoulder injuries </w:t>
      </w:r>
    </w:p>
    <w:p w14:paraId="11B7DB01" w14:textId="77777777" w:rsidR="00F93B98" w:rsidRPr="00F93B98" w:rsidRDefault="00F93B98" w:rsidP="00F93B98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Fatigue and long-term disability </w:t>
      </w:r>
    </w:p>
    <w:p w14:paraId="55596A90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The policy encourages the use of correct techniques and mechanical lifting devices, helping staff work safely and comfortably.</w:t>
      </w:r>
    </w:p>
    <w:p w14:paraId="25F2F229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6259EECD" w14:textId="3B401F06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2. Protection of Patients from Harm</w:t>
      </w:r>
    </w:p>
    <w:p w14:paraId="2F2B1C2B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Patients may suffer injuries if handled incorrectly. Safe handling policies help prevent:</w:t>
      </w:r>
    </w:p>
    <w:p w14:paraId="23E47477" w14:textId="77777777" w:rsidR="00F93B98" w:rsidRPr="00F93B98" w:rsidRDefault="00F93B98" w:rsidP="00F93B98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Falls </w:t>
      </w:r>
    </w:p>
    <w:p w14:paraId="0E54C0B7" w14:textId="77777777" w:rsidR="00F93B98" w:rsidRPr="00F93B98" w:rsidRDefault="00F93B98" w:rsidP="00F93B98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Fractures </w:t>
      </w:r>
    </w:p>
    <w:p w14:paraId="6471EAE5" w14:textId="77777777" w:rsidR="00F93B98" w:rsidRPr="00F93B98" w:rsidRDefault="00F93B98" w:rsidP="00F93B98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Bruises and skin tears </w:t>
      </w:r>
    </w:p>
    <w:p w14:paraId="014D38CC" w14:textId="77777777" w:rsidR="00F93B98" w:rsidRPr="00F93B98" w:rsidRDefault="00F93B98" w:rsidP="00F93B98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Pain and discomfort </w:t>
      </w:r>
    </w:p>
    <w:p w14:paraId="0A88A947" w14:textId="77777777" w:rsidR="00F93B98" w:rsidRPr="00F93B98" w:rsidRDefault="00F93B98" w:rsidP="00F93B98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Re-injury during rehabilitation </w:t>
      </w:r>
    </w:p>
    <w:p w14:paraId="37D2C0FE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Proper handling ensures patient comfort, dignity, and confidence during movement and treatment.</w:t>
      </w:r>
    </w:p>
    <w:p w14:paraId="2E2409F5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2B429818" w14:textId="6BBF8A28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3. Improvement of Quality of Care</w:t>
      </w:r>
    </w:p>
    <w:p w14:paraId="34D19B59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When healthcare workers follow standardized safe handling procedures, patient care becomes more efficient and professional. Patients receive:</w:t>
      </w:r>
    </w:p>
    <w:p w14:paraId="68417BDF" w14:textId="77777777" w:rsidR="00F93B98" w:rsidRPr="00F93B98" w:rsidRDefault="00F93B98" w:rsidP="00F93B9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Faster assistance </w:t>
      </w:r>
    </w:p>
    <w:p w14:paraId="333A1259" w14:textId="77777777" w:rsidR="00F93B98" w:rsidRPr="00F93B98" w:rsidRDefault="00F93B98" w:rsidP="00F93B9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Better support during movement </w:t>
      </w:r>
    </w:p>
    <w:p w14:paraId="55DEAF3B" w14:textId="77777777" w:rsidR="00F93B98" w:rsidRPr="00F93B98" w:rsidRDefault="00F93B98" w:rsidP="00F93B9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More comfortable rehabilitation experiences </w:t>
      </w:r>
    </w:p>
    <w:p w14:paraId="5AF54E89" w14:textId="77777777" w:rsidR="00F93B98" w:rsidRPr="00F93B98" w:rsidRDefault="00F93B98" w:rsidP="00F93B98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Reduced anxiety and fear </w:t>
      </w:r>
    </w:p>
    <w:p w14:paraId="0FD2D163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This contributes to improved recovery outcomes and patient satisfaction.</w:t>
      </w:r>
    </w:p>
    <w:p w14:paraId="707CC51D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25B780DC" w14:textId="1B78485C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4. Promotion of Patient Independence</w:t>
      </w:r>
    </w:p>
    <w:p w14:paraId="0BD72CC0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Safe patient handling policies often include rehabilitation techniques that encourage patients to participate in their own movement where possible. This:</w:t>
      </w:r>
    </w:p>
    <w:p w14:paraId="58DC7766" w14:textId="77777777" w:rsidR="00F93B98" w:rsidRPr="00F93B98" w:rsidRDefault="00F93B98" w:rsidP="00F93B9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Builds patient confidence </w:t>
      </w:r>
    </w:p>
    <w:p w14:paraId="1CDD5FFF" w14:textId="77777777" w:rsidR="00F93B98" w:rsidRPr="00F93B98" w:rsidRDefault="00F93B98" w:rsidP="00F93B9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Encourages mobility and strength </w:t>
      </w:r>
    </w:p>
    <w:p w14:paraId="73B8683D" w14:textId="77777777" w:rsidR="00F93B98" w:rsidRPr="00F93B98" w:rsidRDefault="00F93B98" w:rsidP="00F93B9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Supports faster rehabilitation </w:t>
      </w:r>
    </w:p>
    <w:p w14:paraId="0483EB9E" w14:textId="77777777" w:rsidR="00F93B98" w:rsidRPr="00F93B98" w:rsidRDefault="00F93B98" w:rsidP="00F93B98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Reduces dependency on caregivers </w:t>
      </w:r>
    </w:p>
    <w:p w14:paraId="79610E8E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53F2BED3" w14:textId="25D1B6DD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5. Reduction of Workplace Absenteeism</w:t>
      </w:r>
    </w:p>
    <w:p w14:paraId="228F87DC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Frequent injuries among staff can lead to sick leave and staff shortages. By preventing injuries, the policy helps:</w:t>
      </w:r>
    </w:p>
    <w:p w14:paraId="775BC947" w14:textId="77777777" w:rsidR="00F93B98" w:rsidRPr="00F93B98" w:rsidRDefault="00F93B98" w:rsidP="00F93B9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Reduce absenteeism </w:t>
      </w:r>
    </w:p>
    <w:p w14:paraId="17459824" w14:textId="77777777" w:rsidR="00F93B98" w:rsidRPr="00F93B98" w:rsidRDefault="00F93B98" w:rsidP="00F93B9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Improve staff availability </w:t>
      </w:r>
    </w:p>
    <w:p w14:paraId="63EA4D8E" w14:textId="77777777" w:rsidR="00F93B98" w:rsidRPr="00F93B98" w:rsidRDefault="00F93B98" w:rsidP="00F93B9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Maintain smooth operation of the rehabilitation </w:t>
      </w:r>
      <w:proofErr w:type="spellStart"/>
      <w:r w:rsidRPr="00F93B98">
        <w:rPr>
          <w:rFonts w:ascii="Arial" w:hAnsi="Arial" w:cs="Arial"/>
          <w:sz w:val="28"/>
          <w:szCs w:val="28"/>
        </w:rPr>
        <w:t>centre</w:t>
      </w:r>
      <w:proofErr w:type="spellEnd"/>
      <w:r w:rsidRPr="00F93B98">
        <w:rPr>
          <w:rFonts w:ascii="Arial" w:hAnsi="Arial" w:cs="Arial"/>
          <w:sz w:val="28"/>
          <w:szCs w:val="28"/>
        </w:rPr>
        <w:t xml:space="preserve"> </w:t>
      </w:r>
    </w:p>
    <w:p w14:paraId="2EAE2E6F" w14:textId="77777777" w:rsidR="00F93B98" w:rsidRPr="00F93B98" w:rsidRDefault="00F93B98" w:rsidP="00F93B98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lastRenderedPageBreak/>
        <w:t xml:space="preserve">Lower staff turnover rates </w:t>
      </w:r>
    </w:p>
    <w:p w14:paraId="61062D97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6B3816BD" w14:textId="450FEB86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6. Cost Reduction for the Facility</w:t>
      </w:r>
    </w:p>
    <w:p w14:paraId="61CD3643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Workplace injuries can be expensive due to medical costs, compensation claims, and replacement staffing. Safe patient handling policies help reduce:</w:t>
      </w:r>
    </w:p>
    <w:p w14:paraId="18A78DDF" w14:textId="77777777" w:rsidR="00F93B98" w:rsidRPr="00F93B98" w:rsidRDefault="00F93B98" w:rsidP="00F93B9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Workers’ compensation expenses </w:t>
      </w:r>
    </w:p>
    <w:p w14:paraId="6EFA5C35" w14:textId="77777777" w:rsidR="00F93B98" w:rsidRPr="00F93B98" w:rsidRDefault="00F93B98" w:rsidP="00F93B9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Legal claims </w:t>
      </w:r>
    </w:p>
    <w:p w14:paraId="15B03FF0" w14:textId="77777777" w:rsidR="00F93B98" w:rsidRPr="00F93B98" w:rsidRDefault="00F93B98" w:rsidP="00F93B9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Treatment costs for injured staff </w:t>
      </w:r>
    </w:p>
    <w:p w14:paraId="25919635" w14:textId="77777777" w:rsidR="00F93B98" w:rsidRPr="00F93B98" w:rsidRDefault="00F93B98" w:rsidP="00F93B98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Costs associated with staff replacement and training </w:t>
      </w:r>
    </w:p>
    <w:p w14:paraId="30189CB2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5D3C35AF" w14:textId="51366DA1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7. Compliance with Legal and Professional Standards</w:t>
      </w:r>
    </w:p>
    <w:p w14:paraId="69E470E2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Healthcare institutions are required to follow occupational safety regulations and patient care standards. A handling policy ensures compliance with:</w:t>
      </w:r>
    </w:p>
    <w:p w14:paraId="7BCB8708" w14:textId="77777777" w:rsidR="00F93B98" w:rsidRPr="00F93B98" w:rsidRDefault="00F93B98" w:rsidP="00F93B98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Workplace health and safety laws </w:t>
      </w:r>
    </w:p>
    <w:p w14:paraId="4A08448D" w14:textId="77777777" w:rsidR="00F93B98" w:rsidRPr="00F93B98" w:rsidRDefault="00F93B98" w:rsidP="00F93B98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Professional nursing and rehabilitation standards </w:t>
      </w:r>
    </w:p>
    <w:p w14:paraId="3A3ABECC" w14:textId="77777777" w:rsidR="00F93B98" w:rsidRPr="00F93B98" w:rsidRDefault="00F93B98" w:rsidP="00F93B98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Accreditation requirements </w:t>
      </w:r>
    </w:p>
    <w:p w14:paraId="7AB66F53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This protects the institution from legal penalties and reputational damage.</w:t>
      </w:r>
    </w:p>
    <w:p w14:paraId="41400CC3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43D9AD7A" w14:textId="13F1E08C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8. Encouragement of Teamwork and Communication</w:t>
      </w:r>
    </w:p>
    <w:p w14:paraId="10E0F192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Patient handling often requires cooperation among nurses, therapists, and caregivers. The policy promotes:</w:t>
      </w:r>
    </w:p>
    <w:p w14:paraId="20A0361F" w14:textId="77777777" w:rsidR="00F93B98" w:rsidRPr="00F93B98" w:rsidRDefault="00F93B98" w:rsidP="00F93B98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Clear communication </w:t>
      </w:r>
    </w:p>
    <w:p w14:paraId="3D491310" w14:textId="77777777" w:rsidR="00F93B98" w:rsidRPr="00F93B98" w:rsidRDefault="00F93B98" w:rsidP="00F93B98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Coordinated teamwork </w:t>
      </w:r>
    </w:p>
    <w:p w14:paraId="376D1173" w14:textId="77777777" w:rsidR="00F93B98" w:rsidRPr="00F93B98" w:rsidRDefault="00F93B98" w:rsidP="00F93B98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Shared responsibility </w:t>
      </w:r>
    </w:p>
    <w:p w14:paraId="6E432AF0" w14:textId="77777777" w:rsidR="00F93B98" w:rsidRPr="00F93B98" w:rsidRDefault="00F93B98" w:rsidP="00F93B98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lastRenderedPageBreak/>
        <w:t xml:space="preserve">Consistent handling procedures </w:t>
      </w:r>
    </w:p>
    <w:p w14:paraId="21D321F0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This creates a safer and more organized working environment.</w:t>
      </w:r>
    </w:p>
    <w:p w14:paraId="6D4FB071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3BC9CBA1" w14:textId="7DA2E59D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9. Proper Use of Equipment</w:t>
      </w:r>
    </w:p>
    <w:p w14:paraId="4795B85A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The policy guides staff on the correct use and maintenance of patient handling equipment such as:</w:t>
      </w:r>
    </w:p>
    <w:p w14:paraId="55CE3EDE" w14:textId="77777777" w:rsidR="00F93B98" w:rsidRPr="00F93B98" w:rsidRDefault="00F93B98" w:rsidP="00F93B9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Wheelchairs </w:t>
      </w:r>
    </w:p>
    <w:p w14:paraId="644EB33F" w14:textId="77777777" w:rsidR="00F93B98" w:rsidRPr="00F93B98" w:rsidRDefault="00F93B98" w:rsidP="00F93B9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Hoists </w:t>
      </w:r>
    </w:p>
    <w:p w14:paraId="3A3F679B" w14:textId="77777777" w:rsidR="00F93B98" w:rsidRPr="00F93B98" w:rsidRDefault="00F93B98" w:rsidP="00F93B9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Transfer boards </w:t>
      </w:r>
    </w:p>
    <w:p w14:paraId="2D76787B" w14:textId="77777777" w:rsidR="00F93B98" w:rsidRPr="00F93B98" w:rsidRDefault="00F93B98" w:rsidP="00F93B9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Walking aids </w:t>
      </w:r>
    </w:p>
    <w:p w14:paraId="34F8D1FD" w14:textId="77777777" w:rsidR="00F93B98" w:rsidRPr="00F93B98" w:rsidRDefault="00F93B98" w:rsidP="00F93B9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Adjustable beds </w:t>
      </w:r>
    </w:p>
    <w:p w14:paraId="489C9F71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Proper equipment use improves safety and prolongs equipment lifespan.</w:t>
      </w:r>
    </w:p>
    <w:p w14:paraId="4097A06A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3B9D854C" w14:textId="724E4AC7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10. Enhancement of Staff Confidence and Morale</w:t>
      </w:r>
    </w:p>
    <w:p w14:paraId="250F86E2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When staff are trained and supported with safe handling procedures, they feel:</w:t>
      </w:r>
    </w:p>
    <w:p w14:paraId="5FB65082" w14:textId="77777777" w:rsidR="00F93B98" w:rsidRPr="00F93B98" w:rsidRDefault="00F93B98" w:rsidP="00F93B98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More confident in their duties </w:t>
      </w:r>
    </w:p>
    <w:p w14:paraId="703B8535" w14:textId="77777777" w:rsidR="00F93B98" w:rsidRPr="00F93B98" w:rsidRDefault="00F93B98" w:rsidP="00F93B98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Less stressed about injuries </w:t>
      </w:r>
    </w:p>
    <w:p w14:paraId="3672375E" w14:textId="77777777" w:rsidR="00F93B98" w:rsidRPr="00F93B98" w:rsidRDefault="00F93B98" w:rsidP="00F93B98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More satisfied with their work </w:t>
      </w:r>
    </w:p>
    <w:p w14:paraId="56C2E764" w14:textId="77777777" w:rsidR="00F93B98" w:rsidRPr="00F93B98" w:rsidRDefault="00F93B98" w:rsidP="00F93B98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More motivated to provide quality care </w:t>
      </w:r>
    </w:p>
    <w:p w14:paraId="5E5C1915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0E33C3CB" w14:textId="2530DB5C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11. Prevention of Infection Transmission</w:t>
      </w:r>
    </w:p>
    <w:p w14:paraId="72EAFBC4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Safe handling procedures often include hygiene and infection-control practices. Proper handling reduces unnecessary physical contact and helps prevent the spread of infections between patients and staff.</w:t>
      </w:r>
    </w:p>
    <w:p w14:paraId="0FE57F38" w14:textId="77777777" w:rsid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</w:p>
    <w:p w14:paraId="3BC970CF" w14:textId="0E3B3178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12. Support for Emergency Preparedness</w:t>
      </w:r>
    </w:p>
    <w:p w14:paraId="39F9908A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A safe patient handling policy prepares staff to respond effectively during emergencies such as:</w:t>
      </w:r>
    </w:p>
    <w:p w14:paraId="362AC1B8" w14:textId="77777777" w:rsidR="00F93B98" w:rsidRPr="00F93B98" w:rsidRDefault="00F93B98" w:rsidP="00F93B98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Patient falls </w:t>
      </w:r>
    </w:p>
    <w:p w14:paraId="2156838A" w14:textId="77777777" w:rsidR="00F93B98" w:rsidRPr="00F93B98" w:rsidRDefault="00F93B98" w:rsidP="00F93B98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Seizures </w:t>
      </w:r>
    </w:p>
    <w:p w14:paraId="0F011ADB" w14:textId="77777777" w:rsidR="00F93B98" w:rsidRPr="00F93B98" w:rsidRDefault="00F93B98" w:rsidP="00F93B98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Evacuations </w:t>
      </w:r>
    </w:p>
    <w:p w14:paraId="386FEF3E" w14:textId="77777777" w:rsidR="00F93B98" w:rsidRPr="00F93B98" w:rsidRDefault="00F93B98" w:rsidP="00F93B98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 xml:space="preserve">Medical emergencies </w:t>
      </w:r>
    </w:p>
    <w:p w14:paraId="3939F364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Staff become better equipped to move patients safely during critical situations.</w:t>
      </w:r>
    </w:p>
    <w:p w14:paraId="7F3B234F" w14:textId="77777777" w:rsidR="00F93B98" w:rsidRPr="00F93B98" w:rsidRDefault="00F93B98" w:rsidP="00F93B98">
      <w:pPr>
        <w:rPr>
          <w:rFonts w:ascii="Arial" w:hAnsi="Arial" w:cs="Arial"/>
          <w:b/>
          <w:bCs/>
          <w:sz w:val="28"/>
          <w:szCs w:val="28"/>
        </w:rPr>
      </w:pPr>
      <w:r w:rsidRPr="00F93B98">
        <w:rPr>
          <w:rFonts w:ascii="Arial" w:hAnsi="Arial" w:cs="Arial"/>
          <w:b/>
          <w:bCs/>
          <w:sz w:val="28"/>
          <w:szCs w:val="28"/>
        </w:rPr>
        <w:t>13. Promotion of a Culture of Safety</w:t>
      </w:r>
    </w:p>
    <w:p w14:paraId="1AC681B1" w14:textId="77777777" w:rsidR="00F93B98" w:rsidRPr="00F93B98" w:rsidRDefault="00F93B98" w:rsidP="00F93B98">
      <w:pPr>
        <w:rPr>
          <w:rFonts w:ascii="Arial" w:hAnsi="Arial" w:cs="Arial"/>
          <w:sz w:val="28"/>
          <w:szCs w:val="28"/>
        </w:rPr>
      </w:pPr>
      <w:r w:rsidRPr="00F93B98">
        <w:rPr>
          <w:rFonts w:ascii="Arial" w:hAnsi="Arial" w:cs="Arial"/>
          <w:sz w:val="28"/>
          <w:szCs w:val="28"/>
        </w:rPr>
        <w:t>Implementing a patient handling policy encourages a workplace culture where safety becomes a priority. Staff become more aware of risks and more committed to preventing accidents and injuries.</w:t>
      </w:r>
    </w:p>
    <w:p w14:paraId="66C0FDBA" w14:textId="77777777" w:rsidR="0001101F" w:rsidRPr="00F93B98" w:rsidRDefault="0001101F" w:rsidP="00F93B98">
      <w:pPr>
        <w:rPr>
          <w:rFonts w:ascii="Arial" w:hAnsi="Arial" w:cs="Arial"/>
          <w:sz w:val="28"/>
          <w:szCs w:val="28"/>
        </w:rPr>
      </w:pPr>
    </w:p>
    <w:sectPr w:rsidR="0001101F" w:rsidRPr="00F93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982"/>
    <w:multiLevelType w:val="multilevel"/>
    <w:tmpl w:val="4BA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07E9D"/>
    <w:multiLevelType w:val="multilevel"/>
    <w:tmpl w:val="4BF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D2C7D"/>
    <w:multiLevelType w:val="multilevel"/>
    <w:tmpl w:val="D9D2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02A5A"/>
    <w:multiLevelType w:val="multilevel"/>
    <w:tmpl w:val="DB1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F0E47"/>
    <w:multiLevelType w:val="multilevel"/>
    <w:tmpl w:val="BBE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E3054"/>
    <w:multiLevelType w:val="multilevel"/>
    <w:tmpl w:val="6834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C08A2"/>
    <w:multiLevelType w:val="multilevel"/>
    <w:tmpl w:val="CD14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455D5"/>
    <w:multiLevelType w:val="multilevel"/>
    <w:tmpl w:val="2E3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16C2B"/>
    <w:multiLevelType w:val="multilevel"/>
    <w:tmpl w:val="DE7E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20896"/>
    <w:multiLevelType w:val="multilevel"/>
    <w:tmpl w:val="1E9C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A2A7B"/>
    <w:multiLevelType w:val="multilevel"/>
    <w:tmpl w:val="D3D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664634">
    <w:abstractNumId w:val="4"/>
  </w:num>
  <w:num w:numId="2" w16cid:durableId="2118869584">
    <w:abstractNumId w:val="9"/>
  </w:num>
  <w:num w:numId="3" w16cid:durableId="326859700">
    <w:abstractNumId w:val="5"/>
  </w:num>
  <w:num w:numId="4" w16cid:durableId="1729957054">
    <w:abstractNumId w:val="0"/>
  </w:num>
  <w:num w:numId="5" w16cid:durableId="1476990539">
    <w:abstractNumId w:val="8"/>
  </w:num>
  <w:num w:numId="6" w16cid:durableId="359472383">
    <w:abstractNumId w:val="10"/>
  </w:num>
  <w:num w:numId="7" w16cid:durableId="1673145798">
    <w:abstractNumId w:val="1"/>
  </w:num>
  <w:num w:numId="8" w16cid:durableId="239606130">
    <w:abstractNumId w:val="3"/>
  </w:num>
  <w:num w:numId="9" w16cid:durableId="738556860">
    <w:abstractNumId w:val="6"/>
  </w:num>
  <w:num w:numId="10" w16cid:durableId="1079789772">
    <w:abstractNumId w:val="2"/>
  </w:num>
  <w:num w:numId="11" w16cid:durableId="1742438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78"/>
    <w:rsid w:val="0001101F"/>
    <w:rsid w:val="002149FF"/>
    <w:rsid w:val="003C293C"/>
    <w:rsid w:val="00BC3900"/>
    <w:rsid w:val="00CE674E"/>
    <w:rsid w:val="00E57F78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2604"/>
  <w15:chartTrackingRefBased/>
  <w15:docId w15:val="{997B5530-53F1-4E5D-B532-68EFA69D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mugambi</dc:creator>
  <cp:keywords/>
  <dc:description/>
  <cp:lastModifiedBy>nathanael mugambi</cp:lastModifiedBy>
  <cp:revision>1</cp:revision>
  <dcterms:created xsi:type="dcterms:W3CDTF">2026-05-15T10:28:00Z</dcterms:created>
  <dcterms:modified xsi:type="dcterms:W3CDTF">2026-05-15T11:55:00Z</dcterms:modified>
</cp:coreProperties>
</file>