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D81" w:rsidRPr="009D1D81" w:rsidRDefault="009D1D81" w:rsidP="00573527">
      <w:pPr>
        <w:spacing w:after="160"/>
        <w:rPr>
          <w:rFonts w:eastAsia="Calibri" w:cs="Times New Roman"/>
          <w:b/>
          <w:bCs/>
          <w:iCs/>
          <w:szCs w:val="24"/>
          <w:shd w:val="clear" w:color="auto" w:fill="FFFFFF"/>
        </w:rPr>
      </w:pPr>
    </w:p>
    <w:p w:rsidR="00573527" w:rsidRPr="009D1D81" w:rsidRDefault="00573527" w:rsidP="00573527">
      <w:pPr>
        <w:spacing w:after="160"/>
        <w:ind w:firstLine="720"/>
        <w:rPr>
          <w:rFonts w:eastAsia="Calibri" w:cs="Times New Roman"/>
          <w:b/>
          <w:bCs/>
          <w:iCs/>
          <w:szCs w:val="24"/>
          <w:shd w:val="clear" w:color="auto" w:fill="FFFFFF"/>
        </w:rPr>
      </w:pPr>
    </w:p>
    <w:p w:rsidR="009D1D81" w:rsidRDefault="009D1D81" w:rsidP="00573527">
      <w:pPr>
        <w:spacing w:after="160"/>
        <w:rPr>
          <w:rFonts w:eastAsia="Calibri" w:cs="Times New Roman"/>
          <w:b/>
          <w:bCs/>
          <w:iCs/>
          <w:szCs w:val="24"/>
          <w:shd w:val="clear" w:color="auto" w:fill="FFFFFF"/>
        </w:rPr>
      </w:pPr>
    </w:p>
    <w:p w:rsidR="009D1D81" w:rsidRPr="009D1D81" w:rsidRDefault="009D1D81" w:rsidP="00573527">
      <w:pPr>
        <w:spacing w:after="160"/>
        <w:jc w:val="center"/>
        <w:rPr>
          <w:rFonts w:eastAsia="Calibri" w:cs="Times New Roman"/>
          <w:b/>
          <w:bCs/>
          <w:iCs/>
          <w:szCs w:val="24"/>
          <w:shd w:val="clear" w:color="auto" w:fill="FFFFFF"/>
        </w:rPr>
      </w:pPr>
      <w:r w:rsidRPr="009D1D81">
        <w:rPr>
          <w:rFonts w:eastAsia="Calibri" w:cs="Times New Roman"/>
          <w:b/>
          <w:bCs/>
          <w:iCs/>
          <w:szCs w:val="24"/>
          <w:shd w:val="clear" w:color="auto" w:fill="FFFFFF"/>
        </w:rPr>
        <w:t>Aflatoxin Contamination's Negative Effects: Protecting the Public's Health</w:t>
      </w:r>
    </w:p>
    <w:p w:rsidR="009D1D81" w:rsidRPr="009D1D81" w:rsidRDefault="009D1D81" w:rsidP="00573527">
      <w:pPr>
        <w:spacing w:after="160"/>
        <w:ind w:firstLine="720"/>
        <w:jc w:val="center"/>
        <w:rPr>
          <w:rFonts w:eastAsia="Calibri" w:cs="Times New Roman"/>
          <w:b/>
          <w:bCs/>
          <w:iCs/>
          <w:szCs w:val="24"/>
          <w:shd w:val="clear" w:color="auto" w:fill="FFFFFF"/>
        </w:rPr>
      </w:pPr>
    </w:p>
    <w:p w:rsidR="009D1D81" w:rsidRPr="009D1D81" w:rsidRDefault="009D1D81" w:rsidP="00573527">
      <w:pPr>
        <w:spacing w:before="240" w:after="240"/>
        <w:jc w:val="center"/>
        <w:rPr>
          <w:rFonts w:eastAsia="Calibri" w:cs="Times New Roman"/>
          <w:iCs/>
          <w:color w:val="000000" w:themeColor="text1"/>
        </w:rPr>
      </w:pPr>
      <w:r w:rsidRPr="009D1D81">
        <w:rPr>
          <w:rFonts w:eastAsia="Calibri" w:cs="Times New Roman"/>
          <w:iCs/>
          <w:color w:val="000000" w:themeColor="text1"/>
        </w:rPr>
        <w:t>Student Name</w:t>
      </w:r>
    </w:p>
    <w:p w:rsidR="009D1D81" w:rsidRPr="009D1D81" w:rsidRDefault="009D1D81" w:rsidP="00573527">
      <w:pPr>
        <w:spacing w:before="240" w:after="240"/>
        <w:jc w:val="center"/>
        <w:rPr>
          <w:rFonts w:eastAsia="Calibri" w:cs="Times New Roman"/>
          <w:iCs/>
          <w:color w:val="000000" w:themeColor="text1"/>
        </w:rPr>
      </w:pPr>
      <w:r w:rsidRPr="009D1D81">
        <w:rPr>
          <w:rFonts w:eastAsia="Calibri" w:cs="Times New Roman"/>
          <w:iCs/>
          <w:color w:val="000000" w:themeColor="text1"/>
        </w:rPr>
        <w:t>Name of the Institution</w:t>
      </w:r>
    </w:p>
    <w:p w:rsidR="009D1D81" w:rsidRPr="009D1D81" w:rsidRDefault="009D1D81" w:rsidP="00573527">
      <w:pPr>
        <w:spacing w:before="240" w:after="240"/>
        <w:jc w:val="center"/>
        <w:rPr>
          <w:rFonts w:eastAsia="Calibri" w:cs="Times New Roman"/>
          <w:iCs/>
          <w:color w:val="000000" w:themeColor="text1"/>
        </w:rPr>
      </w:pPr>
      <w:r w:rsidRPr="009D1D81">
        <w:rPr>
          <w:rFonts w:eastAsia="Calibri" w:cs="Times New Roman"/>
          <w:iCs/>
          <w:color w:val="000000" w:themeColor="text1"/>
        </w:rPr>
        <w:t>Course Name and Code</w:t>
      </w:r>
    </w:p>
    <w:p w:rsidR="009D1D81" w:rsidRPr="009D1D81" w:rsidRDefault="009D1D81" w:rsidP="00573527">
      <w:pPr>
        <w:spacing w:before="240" w:after="240"/>
        <w:jc w:val="center"/>
        <w:rPr>
          <w:rFonts w:eastAsia="Calibri" w:cs="Times New Roman"/>
          <w:iCs/>
          <w:color w:val="000000" w:themeColor="text1"/>
        </w:rPr>
      </w:pPr>
      <w:r w:rsidRPr="009D1D81">
        <w:rPr>
          <w:rFonts w:eastAsia="Calibri" w:cs="Times New Roman"/>
          <w:iCs/>
          <w:color w:val="000000" w:themeColor="text1"/>
        </w:rPr>
        <w:t>Lecturer Name</w:t>
      </w:r>
    </w:p>
    <w:p w:rsidR="009D1D81" w:rsidRDefault="009D1D81" w:rsidP="00573527">
      <w:pPr>
        <w:spacing w:before="240" w:after="240"/>
        <w:jc w:val="center"/>
        <w:rPr>
          <w:rFonts w:eastAsia="Calibri" w:cs="Times New Roman"/>
          <w:iCs/>
          <w:color w:val="000000" w:themeColor="text1"/>
        </w:rPr>
      </w:pPr>
      <w:r w:rsidRPr="009D1D81">
        <w:rPr>
          <w:rFonts w:eastAsia="Calibri" w:cs="Times New Roman"/>
          <w:iCs/>
          <w:color w:val="000000" w:themeColor="text1"/>
        </w:rPr>
        <w:t>Date</w:t>
      </w:r>
    </w:p>
    <w:p w:rsidR="00573527" w:rsidRDefault="00573527" w:rsidP="009D1D81">
      <w:pPr>
        <w:spacing w:before="240" w:after="240"/>
        <w:jc w:val="center"/>
        <w:rPr>
          <w:rFonts w:eastAsia="Calibri" w:cs="Times New Roman"/>
          <w:iCs/>
          <w:color w:val="000000" w:themeColor="text1"/>
        </w:rPr>
      </w:pPr>
    </w:p>
    <w:p w:rsidR="00573527" w:rsidRDefault="00573527" w:rsidP="009D1D81">
      <w:pPr>
        <w:spacing w:before="240" w:after="240"/>
        <w:jc w:val="center"/>
        <w:rPr>
          <w:rFonts w:eastAsia="Calibri" w:cs="Times New Roman"/>
          <w:iCs/>
          <w:color w:val="000000" w:themeColor="text1"/>
        </w:rPr>
      </w:pPr>
    </w:p>
    <w:p w:rsidR="00573527" w:rsidRDefault="00573527" w:rsidP="009D1D81">
      <w:pPr>
        <w:spacing w:before="240" w:after="240"/>
        <w:jc w:val="center"/>
        <w:rPr>
          <w:rFonts w:eastAsia="Calibri" w:cs="Times New Roman"/>
          <w:iCs/>
          <w:color w:val="000000" w:themeColor="text1"/>
        </w:rPr>
      </w:pPr>
    </w:p>
    <w:p w:rsidR="00573527" w:rsidRDefault="00573527" w:rsidP="009D1D81">
      <w:pPr>
        <w:spacing w:before="240" w:after="240"/>
        <w:jc w:val="center"/>
        <w:rPr>
          <w:rFonts w:eastAsia="Calibri" w:cs="Times New Roman"/>
          <w:iCs/>
          <w:color w:val="000000" w:themeColor="text1"/>
        </w:rPr>
      </w:pPr>
    </w:p>
    <w:p w:rsidR="00573527" w:rsidRDefault="00573527" w:rsidP="009D1D81">
      <w:pPr>
        <w:spacing w:before="240" w:after="240"/>
        <w:jc w:val="center"/>
        <w:rPr>
          <w:rFonts w:eastAsia="Calibri" w:cs="Times New Roman"/>
          <w:iCs/>
          <w:color w:val="000000" w:themeColor="text1"/>
        </w:rPr>
      </w:pPr>
    </w:p>
    <w:p w:rsidR="00573527" w:rsidRDefault="00573527" w:rsidP="009D1D81">
      <w:pPr>
        <w:spacing w:before="240" w:after="240"/>
        <w:jc w:val="center"/>
        <w:rPr>
          <w:rFonts w:eastAsia="Calibri" w:cs="Times New Roman"/>
          <w:iCs/>
          <w:color w:val="000000" w:themeColor="text1"/>
        </w:rPr>
      </w:pPr>
    </w:p>
    <w:p w:rsidR="00573527" w:rsidRDefault="00573527" w:rsidP="009D1D81">
      <w:pPr>
        <w:spacing w:before="240" w:after="240"/>
        <w:jc w:val="center"/>
        <w:rPr>
          <w:rFonts w:eastAsia="Calibri" w:cs="Times New Roman"/>
          <w:iCs/>
          <w:color w:val="000000" w:themeColor="text1"/>
        </w:rPr>
      </w:pPr>
    </w:p>
    <w:p w:rsidR="00573527" w:rsidRDefault="00573527" w:rsidP="009D1D81">
      <w:pPr>
        <w:spacing w:before="240" w:after="240"/>
        <w:jc w:val="center"/>
        <w:rPr>
          <w:rFonts w:eastAsia="Calibri" w:cs="Times New Roman"/>
          <w:iCs/>
          <w:color w:val="000000" w:themeColor="text1"/>
        </w:rPr>
      </w:pPr>
    </w:p>
    <w:p w:rsidR="00573527" w:rsidRDefault="00573527" w:rsidP="009D1D81">
      <w:pPr>
        <w:spacing w:before="240" w:after="240"/>
        <w:jc w:val="center"/>
        <w:rPr>
          <w:rFonts w:eastAsia="Calibri" w:cs="Times New Roman"/>
          <w:iCs/>
          <w:color w:val="000000" w:themeColor="text1"/>
        </w:rPr>
      </w:pPr>
    </w:p>
    <w:p w:rsidR="00573527" w:rsidRDefault="00573527" w:rsidP="009D1D81">
      <w:pPr>
        <w:spacing w:before="240" w:after="240"/>
        <w:jc w:val="center"/>
        <w:rPr>
          <w:rFonts w:eastAsia="Calibri" w:cs="Times New Roman"/>
          <w:iCs/>
          <w:color w:val="000000" w:themeColor="text1"/>
        </w:rPr>
      </w:pPr>
    </w:p>
    <w:p w:rsidR="00573527" w:rsidRDefault="00573527" w:rsidP="009D1D81">
      <w:pPr>
        <w:spacing w:before="240" w:after="240"/>
        <w:jc w:val="center"/>
        <w:rPr>
          <w:rFonts w:eastAsia="Calibri" w:cs="Times New Roman"/>
          <w:iCs/>
          <w:color w:val="000000" w:themeColor="text1"/>
        </w:rPr>
      </w:pPr>
    </w:p>
    <w:p w:rsidR="00573527" w:rsidRDefault="00573527" w:rsidP="009D1D81">
      <w:pPr>
        <w:spacing w:before="240" w:after="240"/>
        <w:jc w:val="center"/>
        <w:rPr>
          <w:rFonts w:eastAsia="Calibri" w:cs="Times New Roman"/>
          <w:iCs/>
          <w:color w:val="000000" w:themeColor="text1"/>
        </w:rPr>
      </w:pPr>
    </w:p>
    <w:p w:rsidR="00573527" w:rsidRDefault="00573527" w:rsidP="009D1D81">
      <w:pPr>
        <w:spacing w:before="240" w:after="240"/>
        <w:jc w:val="center"/>
        <w:rPr>
          <w:rFonts w:eastAsia="Calibri" w:cs="Times New Roman"/>
          <w:iCs/>
          <w:color w:val="000000" w:themeColor="text1"/>
        </w:rPr>
      </w:pPr>
    </w:p>
    <w:p w:rsidR="00573527" w:rsidRDefault="00573527" w:rsidP="009D1D81">
      <w:pPr>
        <w:spacing w:before="240" w:after="240"/>
        <w:jc w:val="center"/>
        <w:rPr>
          <w:rFonts w:eastAsia="Calibri" w:cs="Times New Roman"/>
          <w:iCs/>
          <w:color w:val="000000" w:themeColor="text1"/>
        </w:rPr>
      </w:pPr>
    </w:p>
    <w:p w:rsidR="000E0FEF" w:rsidRPr="000E0FEF" w:rsidRDefault="000E0FEF" w:rsidP="000E0FEF"/>
    <w:p w:rsidR="000E0FEF" w:rsidRPr="000E0FEF" w:rsidRDefault="000E0FEF" w:rsidP="000E0FEF">
      <w:pPr>
        <w:jc w:val="center"/>
      </w:pPr>
      <w:r w:rsidRPr="000E0FEF">
        <w:rPr>
          <w:b/>
          <w:bCs/>
        </w:rPr>
        <w:lastRenderedPageBreak/>
        <w:t>Aflatoxin Contamination's Negative Effects: Protecting the Public's Health</w:t>
      </w:r>
    </w:p>
    <w:p w:rsidR="000E0FEF" w:rsidRPr="000E0FEF" w:rsidRDefault="000E0FEF" w:rsidP="000E0FEF">
      <w:pPr>
        <w:ind w:firstLine="720"/>
      </w:pPr>
      <w:r w:rsidRPr="000E0FEF">
        <w:t>Due to their frequent occurrence in everyday foods, aflatoxins, produced by the fungus Aspergillus, pose severe dangers to animals and people. Globally, governments have set limitations to reduce the risks of aflatoxin, but difficulties still exist in developing countries where local markets frequently flout laws governing food safety. Africa embracing WHO recommendations is an example of how crucial effective risk management and communication are. Aflatoxin exposure, even at low levels, can adversely affect health, prompting further study and careful risk analysis. The effects of aflatoxin pollution are examined in this essay, which also addresses immunological suppression, stunted growth, maternal health, carcinogenesis, and liver damage.</w:t>
      </w:r>
    </w:p>
    <w:p w:rsidR="000E0FEF" w:rsidRPr="000E0FEF" w:rsidRDefault="000E0FEF" w:rsidP="000E0FEF">
      <w:pPr>
        <w:jc w:val="center"/>
      </w:pPr>
      <w:r w:rsidRPr="000E0FEF">
        <w:rPr>
          <w:b/>
          <w:bCs/>
        </w:rPr>
        <w:t>Impacts of Immune Suppression on Pathogenesis</w:t>
      </w:r>
    </w:p>
    <w:p w:rsidR="000E0FEF" w:rsidRPr="000E0FEF" w:rsidRDefault="000E0FEF" w:rsidP="000E0FEF">
      <w:pPr>
        <w:ind w:firstLine="720"/>
      </w:pPr>
      <w:r w:rsidRPr="000E0FEF">
        <w:t>The link between immunological suppression and aflatoxin exposure is clear in H9N2 influenza virus outbreaks. Although this virus was initially not very harmful in hens, it has created severe illness worldwide. The persistent H9N2 circulation in Egypt highlights possible aflatoxin interactions (Tagde et al., 2021). Moulds containing aflatoxins also pose a severe threat to the chicken sector. Therefore, implementing efficient risk management solutions is crucial for protecting vital industries and ensuring public health.</w:t>
      </w:r>
    </w:p>
    <w:p w:rsidR="000E0FEF" w:rsidRPr="000E0FEF" w:rsidRDefault="000E0FEF" w:rsidP="000E0FEF">
      <w:pPr>
        <w:jc w:val="center"/>
      </w:pPr>
      <w:r w:rsidRPr="000E0FEF">
        <w:rPr>
          <w:b/>
          <w:bCs/>
        </w:rPr>
        <w:t>Stunted Growth</w:t>
      </w:r>
    </w:p>
    <w:p w:rsidR="000E0FEF" w:rsidRPr="000E0FEF" w:rsidRDefault="000E0FEF" w:rsidP="000E0FEF">
      <w:pPr>
        <w:ind w:firstLine="720"/>
      </w:pPr>
      <w:r w:rsidRPr="000E0FEF">
        <w:t xml:space="preserve">In areas with high aflatoxin exposure, stunted growth is a severe problem affecting humans and animals. For instance, ingesting tainted foods, particularly infected maize, hinders growth in Africa. Children from various exposure levels in nearby villages participated in a study that highlighted the adverse effects of consuming contaminated staples (Shabeer et al., 2022). Since aflatoxin may cause liver cancer, expansion hazards in Africa and southern Asia are significantly increased. The dangers of increased liver cancer </w:t>
      </w:r>
      <w:bookmarkStart w:id="0" w:name="_GoBack"/>
      <w:bookmarkEnd w:id="0"/>
      <w:r w:rsidRPr="000E0FEF">
        <w:lastRenderedPageBreak/>
        <w:t>susceptibility and growth being linked highlight the need for all-encompassing methods to combat aflatoxin pollution and its widespread impacts.</w:t>
      </w:r>
    </w:p>
    <w:p w:rsidR="000E0FEF" w:rsidRPr="000E0FEF" w:rsidRDefault="000E0FEF" w:rsidP="000E0FEF">
      <w:pPr>
        <w:jc w:val="center"/>
      </w:pPr>
      <w:r w:rsidRPr="000E0FEF">
        <w:rPr>
          <w:b/>
          <w:bCs/>
        </w:rPr>
        <w:t>Maternal Health and Pregnancy Implications</w:t>
      </w:r>
    </w:p>
    <w:p w:rsidR="000E0FEF" w:rsidRPr="000E0FEF" w:rsidRDefault="000E0FEF" w:rsidP="000E0FEF">
      <w:pPr>
        <w:ind w:firstLine="720"/>
      </w:pPr>
      <w:r w:rsidRPr="000E0FEF">
        <w:t xml:space="preserve">Aflatoxin's effects on pregnancy, especially concerning fetal health, put maternal health in danger. Aflatoxin's negative consequences, such as potential impairments in fetal growth and increased risk of preterm birth, are more likely to affect pregnant women and their developing </w:t>
      </w:r>
      <w:proofErr w:type="spellStart"/>
      <w:r w:rsidRPr="000E0FEF">
        <w:t>fetuses</w:t>
      </w:r>
      <w:proofErr w:type="spellEnd"/>
      <w:r w:rsidRPr="000E0FEF">
        <w:t xml:space="preserve"> (Passarelli et al., 2020). These worries are made worse by the complex interactions between systemic inflammation and abnormalities in placental formation. More investigation is necessary to demonstrate a clear connection between aflatoxin exposure and maternal-fetal outcomes. It is imperative to address these issues to protect the development and health of mothers and their unborn children in the face of aflatoxin contamination.</w:t>
      </w:r>
    </w:p>
    <w:p w:rsidR="000E0FEF" w:rsidRPr="000E0FEF" w:rsidRDefault="000E0FEF" w:rsidP="000E0FEF">
      <w:pPr>
        <w:jc w:val="center"/>
      </w:pPr>
      <w:r w:rsidRPr="000E0FEF">
        <w:rPr>
          <w:b/>
          <w:bCs/>
        </w:rPr>
        <w:t>Carcinogenesis: Link with Liver Cancer</w:t>
      </w:r>
    </w:p>
    <w:p w:rsidR="000E0FEF" w:rsidRPr="000E0FEF" w:rsidRDefault="000E0FEF" w:rsidP="000E0FEF">
      <w:pPr>
        <w:ind w:firstLine="720"/>
      </w:pPr>
      <w:r w:rsidRPr="000E0FEF">
        <w:t>The link between aflatoxin and cancer development is well recognized, and its presence in animal milk attests to this fact. It has been demonstrated that diets high in cyclopropenoid fatty acids, which contain aflatoxin, increase carcinogenicity. This data emphasizes the urgent requirement for a thorough strategy to address this issue (Meijer et al., 2021). Furthermore, the link between aflatoxin and liver cirrhosis intensifies the need for a comprehensive approach to this problem's solution. Comprehensive efforts must be made to address aflatoxin's intricate links with cirrhosis and liver cancer to reduce its negative impacts on the health and well-being of the general people.</w:t>
      </w:r>
    </w:p>
    <w:p w:rsidR="000E0FEF" w:rsidRPr="000E0FEF" w:rsidRDefault="000E0FEF" w:rsidP="000E0FEF">
      <w:pPr>
        <w:jc w:val="center"/>
      </w:pPr>
      <w:r w:rsidRPr="000E0FEF">
        <w:rPr>
          <w:b/>
          <w:bCs/>
        </w:rPr>
        <w:t>Damage to the Liver: Complex Consequences</w:t>
      </w:r>
    </w:p>
    <w:p w:rsidR="000E0FEF" w:rsidRPr="000E0FEF" w:rsidRDefault="000E0FEF" w:rsidP="000E0FEF">
      <w:pPr>
        <w:ind w:firstLine="720"/>
      </w:pPr>
      <w:r w:rsidRPr="000E0FEF">
        <w:t xml:space="preserve">Damage to the liver from asbestos poisoning results in complicated issues. Sub-Saharan Africa has a higher prevalence of liver cirrhosis due to the high levels of aflatoxin exposure, which raises the chance of developing hepatocellular carcinoma. Despite </w:t>
      </w:r>
      <w:r w:rsidRPr="000E0FEF">
        <w:lastRenderedPageBreak/>
        <w:t>significant efforts, the lack of complete data hinders efforts to minimize liver cancer linked to aflatoxin (Meijer et al., 2021). Compiling thorough data on various subjects, including consumption, metabolism, and mortality statistics, is critical to creating workable mitigation strategies for the varied impacts of aflatoxin contamination on public health and well-being. It is imperative to solve these problematic concerns to save communities from the extensive effects of liver disease brought on by aflatoxin exposure.</w:t>
      </w:r>
    </w:p>
    <w:p w:rsidR="000E0FEF" w:rsidRPr="000E0FEF" w:rsidRDefault="000E0FEF" w:rsidP="000E0FEF">
      <w:pPr>
        <w:jc w:val="center"/>
      </w:pPr>
      <w:r w:rsidRPr="000E0FEF">
        <w:rPr>
          <w:b/>
          <w:bCs/>
        </w:rPr>
        <w:t>Cardiovascular Effects: A Hidden Threat from Aflatoxin Exposure</w:t>
      </w:r>
    </w:p>
    <w:p w:rsidR="000E0FEF" w:rsidRPr="000E0FEF" w:rsidRDefault="000E0FEF" w:rsidP="000E0FEF">
      <w:pPr>
        <w:ind w:firstLine="720"/>
      </w:pPr>
      <w:r w:rsidRPr="000E0FEF">
        <w:t>Aflatoxin pollution has recently been linked to cardiovascular health, one of a wide range of severe negative impacts it is now being linked. The potential cardiovascular effects of aflatoxin exposure have been recently studied. Although the precise processes are still being uncovered, research points to aflatoxins as a potential cause of oxidative stress and inflammation in the cardiovascular system, which could aid in the progression of cardiovascular illnesses (Caiati et al., 2023). This finding highlights the critical need for additional study to clarify the precise relationships between aflatoxin exposure and heart health. Understanding the possible cardiovascular effects of aflatoxin contamination is crucial because heart disease is the world's leading cause of death. For this concealed threat to be reduced, a comprehensive strategy that includes public health initiatives,</w:t>
      </w:r>
    </w:p>
    <w:p w:rsidR="000E0FEF" w:rsidRPr="000E0FEF" w:rsidRDefault="000E0FEF" w:rsidP="000E0FEF">
      <w:pPr>
        <w:jc w:val="center"/>
      </w:pPr>
      <w:r w:rsidRPr="000E0FEF">
        <w:rPr>
          <w:b/>
          <w:bCs/>
        </w:rPr>
        <w:t>Neurological Implications: Unveiling Aflatoxin's Impact on the Brain</w:t>
      </w:r>
    </w:p>
    <w:p w:rsidR="000E0FEF" w:rsidRPr="000E0FEF" w:rsidRDefault="000E0FEF" w:rsidP="000E0FEF">
      <w:pPr>
        <w:ind w:firstLine="720"/>
      </w:pPr>
      <w:r w:rsidRPr="000E0FEF">
        <w:t xml:space="preserve">Aflatoxin exposure has been connected to a growing worry—neurological effects—in addition to its well-known health hazards. According to a recent study, aflatoxin exposure may have adverse effects on the brain, raising concerns about possible implications on cognitive and neurodevelopment. Studies have shown that aflatoxins can pass the blood-brain barrier, potentially causing inflammation and oxidative stress in neural regions even if the precise processes are still being investigated (Tebbi, 2023). It is essential to pay attention to this interaction between aflatoxins and the fragile environment of the brain since it may </w:t>
      </w:r>
      <w:r w:rsidRPr="000E0FEF">
        <w:lastRenderedPageBreak/>
        <w:t>eventually lead to cognitive decline and neurobehavioral problems. Aflatoxin contamination must be addressed immediately to protect people's general health and well-being. Addressing aflatoxin contamination is crucial for the complex relationship between brain development and function, which calls for more excellent knowledge of the potential neurological effects of aflatoxin exposure.</w:t>
      </w:r>
    </w:p>
    <w:p w:rsidR="000E0FEF" w:rsidRPr="000E0FEF" w:rsidRDefault="000E0FEF" w:rsidP="000E0FEF">
      <w:pPr>
        <w:ind w:firstLine="720"/>
      </w:pPr>
      <w:r w:rsidRPr="000E0FEF">
        <w:t>In conclusion, tackling the complex effects of aflatoxin contamination necessitates a thorough approach. The extensive repercussions can be effectively reduced by stakeholder cooperation, the use of cutting-edge technologies, and the formation of sustainable practices. As the world community strives for healthy nutrition and increased food security, combating aflatoxin contamination becomes a shared responsibility. By defending public health, protecting developmental trajectories, and reinforcing food systems against the grave risks posed by aflatoxins, this proactive approach builds the groundwork for a healthier and more secure future.</w:t>
      </w:r>
    </w:p>
    <w:p w:rsidR="00573527" w:rsidRDefault="00573527" w:rsidP="009D1D81">
      <w:pPr>
        <w:ind w:firstLine="720"/>
      </w:pPr>
    </w:p>
    <w:p w:rsidR="00573527" w:rsidRDefault="00573527" w:rsidP="009D1D81">
      <w:pPr>
        <w:ind w:firstLine="720"/>
      </w:pPr>
    </w:p>
    <w:p w:rsidR="00573527" w:rsidRDefault="00573527" w:rsidP="009D1D81">
      <w:pPr>
        <w:ind w:firstLine="720"/>
      </w:pPr>
    </w:p>
    <w:p w:rsidR="00573527" w:rsidRDefault="00573527" w:rsidP="009D1D81">
      <w:pPr>
        <w:ind w:firstLine="720"/>
      </w:pPr>
    </w:p>
    <w:p w:rsidR="00573527" w:rsidRDefault="00573527" w:rsidP="009D1D81">
      <w:pPr>
        <w:ind w:firstLine="720"/>
      </w:pPr>
    </w:p>
    <w:p w:rsidR="00573527" w:rsidRDefault="00573527" w:rsidP="009D1D81">
      <w:pPr>
        <w:ind w:firstLine="720"/>
      </w:pPr>
    </w:p>
    <w:p w:rsidR="00573527" w:rsidRDefault="00573527" w:rsidP="009D1D81">
      <w:pPr>
        <w:ind w:firstLine="720"/>
      </w:pPr>
    </w:p>
    <w:p w:rsidR="00573527" w:rsidRDefault="00573527" w:rsidP="009D1D81">
      <w:pPr>
        <w:ind w:firstLine="720"/>
      </w:pPr>
    </w:p>
    <w:p w:rsidR="00573527" w:rsidRDefault="00573527" w:rsidP="009D1D81">
      <w:pPr>
        <w:ind w:firstLine="720"/>
      </w:pPr>
    </w:p>
    <w:p w:rsidR="00573527" w:rsidRDefault="00573527" w:rsidP="009D1D81">
      <w:pPr>
        <w:ind w:firstLine="720"/>
      </w:pPr>
    </w:p>
    <w:p w:rsidR="00573527" w:rsidRDefault="00573527" w:rsidP="009D1D81">
      <w:pPr>
        <w:ind w:firstLine="720"/>
      </w:pPr>
    </w:p>
    <w:p w:rsidR="00573527" w:rsidRDefault="00573527" w:rsidP="009D1D81">
      <w:pPr>
        <w:ind w:firstLine="720"/>
      </w:pPr>
    </w:p>
    <w:p w:rsidR="00573527" w:rsidRPr="008A3A6F" w:rsidRDefault="00573527" w:rsidP="008A3A6F">
      <w:pPr>
        <w:ind w:left="720" w:hanging="720"/>
        <w:jc w:val="center"/>
        <w:rPr>
          <w:b/>
        </w:rPr>
      </w:pPr>
      <w:r w:rsidRPr="008A3A6F">
        <w:rPr>
          <w:b/>
        </w:rPr>
        <w:lastRenderedPageBreak/>
        <w:t>References</w:t>
      </w:r>
    </w:p>
    <w:p w:rsidR="00573527" w:rsidRPr="00573527" w:rsidRDefault="00573527" w:rsidP="008A3A6F">
      <w:pPr>
        <w:ind w:left="720" w:hanging="720"/>
      </w:pPr>
      <w:r w:rsidRPr="00573527">
        <w:t xml:space="preserve">Caiati, C., Stanca, A., &amp; Lepera, M. E. (2023). </w:t>
      </w:r>
      <w:r w:rsidR="008A3A6F" w:rsidRPr="00573527">
        <w:t>Free radicals and obesity-related chronic inflammation contrasted by a</w:t>
      </w:r>
      <w:r w:rsidRPr="00573527">
        <w:t xml:space="preserve">ntioxidants: A </w:t>
      </w:r>
      <w:r w:rsidR="008A3A6F" w:rsidRPr="00573527">
        <w:t>new perspective in coronary artery dise</w:t>
      </w:r>
      <w:r w:rsidRPr="00573527">
        <w:t xml:space="preserve">ase. </w:t>
      </w:r>
      <w:r w:rsidRPr="00573527">
        <w:rPr>
          <w:i/>
          <w:iCs/>
        </w:rPr>
        <w:t>Metabolites</w:t>
      </w:r>
      <w:r w:rsidRPr="00573527">
        <w:t xml:space="preserve">, </w:t>
      </w:r>
      <w:r w:rsidRPr="00573527">
        <w:rPr>
          <w:i/>
          <w:iCs/>
        </w:rPr>
        <w:t>13</w:t>
      </w:r>
      <w:r w:rsidRPr="00573527">
        <w:t xml:space="preserve">(6), 712. </w:t>
      </w:r>
      <w:hyperlink r:id="rId4" w:history="1">
        <w:r w:rsidR="008A3A6F" w:rsidRPr="00F74265">
          <w:rPr>
            <w:rStyle w:val="Hyperlink"/>
          </w:rPr>
          <w:t>https://doi.org/10.3390/metabo13060712</w:t>
        </w:r>
      </w:hyperlink>
      <w:r w:rsidR="008A3A6F">
        <w:t xml:space="preserve"> </w:t>
      </w:r>
    </w:p>
    <w:p w:rsidR="00573527" w:rsidRPr="00573527" w:rsidRDefault="00573527" w:rsidP="008A3A6F">
      <w:pPr>
        <w:ind w:left="720" w:hanging="720"/>
      </w:pPr>
      <w:r w:rsidRPr="00573527">
        <w:t xml:space="preserve">Meijer, N., Kleter, G., Nijs, M., Rau, M., Derkx, R., &amp; Fels‐Klerx, H. J. (2021). The aflatoxin situation in Africa: Systematic literature review. </w:t>
      </w:r>
      <w:r w:rsidRPr="00573527">
        <w:rPr>
          <w:i/>
          <w:iCs/>
        </w:rPr>
        <w:t>Comprehensive Reviews in Food Science and Food Safety</w:t>
      </w:r>
      <w:r w:rsidRPr="00573527">
        <w:t xml:space="preserve">, </w:t>
      </w:r>
      <w:r w:rsidRPr="00573527">
        <w:rPr>
          <w:i/>
          <w:iCs/>
        </w:rPr>
        <w:t>20</w:t>
      </w:r>
      <w:r w:rsidRPr="00573527">
        <w:t xml:space="preserve">(3), 2286–2304. </w:t>
      </w:r>
      <w:hyperlink r:id="rId5" w:history="1">
        <w:r w:rsidR="008A3A6F" w:rsidRPr="00F74265">
          <w:rPr>
            <w:rStyle w:val="Hyperlink"/>
          </w:rPr>
          <w:t>https://doi.org/10.1111/1541-4337.12731</w:t>
        </w:r>
      </w:hyperlink>
      <w:r w:rsidR="008A3A6F">
        <w:t xml:space="preserve"> </w:t>
      </w:r>
    </w:p>
    <w:p w:rsidR="00573527" w:rsidRPr="00573527" w:rsidRDefault="00573527" w:rsidP="008A3A6F">
      <w:pPr>
        <w:ind w:left="720" w:hanging="720"/>
      </w:pPr>
      <w:r w:rsidRPr="00573527">
        <w:t xml:space="preserve">Passarelli, S., Sabri Bromage, Anne Marie Darling, Wang, J., Aboud, S., Mugusi, F., Griffiths, J. K., &amp; Fawzi, W. W. (2020). Aflatoxin exposure </w:t>
      </w:r>
      <w:r w:rsidRPr="008A3A6F">
        <w:rPr>
          <w:iCs/>
        </w:rPr>
        <w:t>in utero</w:t>
      </w:r>
      <w:r w:rsidRPr="008A3A6F">
        <w:t xml:space="preserve"> </w:t>
      </w:r>
      <w:r w:rsidRPr="00573527">
        <w:t xml:space="preserve">and birth and growth outcomes in Tanzania. </w:t>
      </w:r>
      <w:r w:rsidRPr="00573527">
        <w:rPr>
          <w:i/>
          <w:iCs/>
        </w:rPr>
        <w:t>Maternal and Child Nutrition</w:t>
      </w:r>
      <w:r w:rsidRPr="00573527">
        <w:t xml:space="preserve">, </w:t>
      </w:r>
      <w:r w:rsidRPr="00573527">
        <w:rPr>
          <w:i/>
          <w:iCs/>
        </w:rPr>
        <w:t>16</w:t>
      </w:r>
      <w:r w:rsidRPr="00573527">
        <w:t xml:space="preserve">(2). </w:t>
      </w:r>
      <w:hyperlink r:id="rId6" w:history="1">
        <w:r w:rsidR="008A3A6F" w:rsidRPr="00F74265">
          <w:rPr>
            <w:rStyle w:val="Hyperlink"/>
          </w:rPr>
          <w:t>https://doi.org/10.1111/mcn.12917</w:t>
        </w:r>
      </w:hyperlink>
      <w:r w:rsidR="008A3A6F">
        <w:t xml:space="preserve"> </w:t>
      </w:r>
    </w:p>
    <w:p w:rsidR="00573527" w:rsidRPr="00573527" w:rsidRDefault="00573527" w:rsidP="008A3A6F">
      <w:pPr>
        <w:ind w:left="720" w:hanging="720"/>
      </w:pPr>
      <w:r w:rsidRPr="00573527">
        <w:t xml:space="preserve">Shabeer, S., Asad, S., Jamal, A., &amp; Ali, A. (2022). </w:t>
      </w:r>
      <w:r w:rsidR="008A3A6F" w:rsidRPr="00573527">
        <w:t>Aflatoxin contamination, its impact and management strategi</w:t>
      </w:r>
      <w:r w:rsidR="008A3A6F">
        <w:t>es: A</w:t>
      </w:r>
      <w:r w:rsidR="008A3A6F" w:rsidRPr="00573527">
        <w:t>n updated r</w:t>
      </w:r>
      <w:r w:rsidRPr="00573527">
        <w:t xml:space="preserve">eview. </w:t>
      </w:r>
      <w:r w:rsidRPr="00573527">
        <w:rPr>
          <w:i/>
          <w:iCs/>
        </w:rPr>
        <w:t>Toxins</w:t>
      </w:r>
      <w:r w:rsidRPr="00573527">
        <w:t xml:space="preserve">, </w:t>
      </w:r>
      <w:r w:rsidRPr="00573527">
        <w:rPr>
          <w:i/>
          <w:iCs/>
        </w:rPr>
        <w:t>14</w:t>
      </w:r>
      <w:r w:rsidRPr="00573527">
        <w:t xml:space="preserve">(5), 307. </w:t>
      </w:r>
      <w:hyperlink r:id="rId7" w:history="1">
        <w:r w:rsidR="008A3A6F" w:rsidRPr="00F74265">
          <w:rPr>
            <w:rStyle w:val="Hyperlink"/>
          </w:rPr>
          <w:t>https://doi.org/10.3390/toxins14050307</w:t>
        </w:r>
      </w:hyperlink>
      <w:r w:rsidR="008A3A6F">
        <w:t xml:space="preserve"> </w:t>
      </w:r>
    </w:p>
    <w:p w:rsidR="00573527" w:rsidRPr="00573527" w:rsidRDefault="00573527" w:rsidP="008A3A6F">
      <w:pPr>
        <w:ind w:left="720" w:hanging="720"/>
      </w:pPr>
      <w:r w:rsidRPr="00573527">
        <w:t xml:space="preserve">Tagde, P., Tagde, S., Tagde, P., Bhattacharya, T., Monzur, S. M., Rahman, Md. H., Otrisal, P., Behl, T., ul Hassan, S. S., Abdel-Daim, M. M., Aleya, L., &amp; Bungau, S. (2021). Nutraceuticals </w:t>
      </w:r>
      <w:r w:rsidR="008A3A6F" w:rsidRPr="00573527">
        <w:t>and herbs in reducing the risk and improving the treat</w:t>
      </w:r>
      <w:r w:rsidR="008A3A6F">
        <w:t>ment of COVID-19 by t</w:t>
      </w:r>
      <w:r w:rsidRPr="00573527">
        <w:t xml:space="preserve">argeting SARS-CoV-2. </w:t>
      </w:r>
      <w:r w:rsidRPr="00573527">
        <w:rPr>
          <w:i/>
          <w:iCs/>
        </w:rPr>
        <w:t>Biomedicines</w:t>
      </w:r>
      <w:r w:rsidRPr="00573527">
        <w:t xml:space="preserve">, </w:t>
      </w:r>
      <w:r w:rsidRPr="00573527">
        <w:rPr>
          <w:i/>
          <w:iCs/>
        </w:rPr>
        <w:t>9</w:t>
      </w:r>
      <w:r w:rsidRPr="00573527">
        <w:t xml:space="preserve">(9), 1266. </w:t>
      </w:r>
      <w:hyperlink r:id="rId8" w:history="1">
        <w:r w:rsidR="008A3A6F" w:rsidRPr="00F74265">
          <w:rPr>
            <w:rStyle w:val="Hyperlink"/>
          </w:rPr>
          <w:t>https://doi.org/10.3390/biomedicines9091266</w:t>
        </w:r>
      </w:hyperlink>
      <w:r w:rsidR="008A3A6F">
        <w:t xml:space="preserve"> </w:t>
      </w:r>
    </w:p>
    <w:p w:rsidR="00573527" w:rsidRPr="00573527" w:rsidRDefault="00573527" w:rsidP="008A3A6F">
      <w:pPr>
        <w:ind w:left="720" w:hanging="720"/>
      </w:pPr>
      <w:r w:rsidRPr="00573527">
        <w:t>Tebbi</w:t>
      </w:r>
      <w:r w:rsidR="008A3A6F">
        <w:t>, C. K. (2023). Mycoviruses in f</w:t>
      </w:r>
      <w:r w:rsidRPr="00573527">
        <w:t xml:space="preserve">ungi: </w:t>
      </w:r>
      <w:r w:rsidR="008A3A6F" w:rsidRPr="00573527">
        <w:t>carcinogenesis of fungal agents may not always be mycotoxin re</w:t>
      </w:r>
      <w:r w:rsidRPr="00573527">
        <w:t xml:space="preserve">lated. </w:t>
      </w:r>
      <w:r w:rsidRPr="00573527">
        <w:rPr>
          <w:i/>
          <w:iCs/>
        </w:rPr>
        <w:t>Journal of Fungi</w:t>
      </w:r>
      <w:r w:rsidRPr="00573527">
        <w:t xml:space="preserve">, </w:t>
      </w:r>
      <w:r w:rsidRPr="00573527">
        <w:rPr>
          <w:i/>
          <w:iCs/>
        </w:rPr>
        <w:t>9</w:t>
      </w:r>
      <w:r w:rsidRPr="00573527">
        <w:t xml:space="preserve">(3), 368. </w:t>
      </w:r>
      <w:hyperlink r:id="rId9" w:history="1">
        <w:r w:rsidR="008A3A6F" w:rsidRPr="00F74265">
          <w:rPr>
            <w:rStyle w:val="Hyperlink"/>
          </w:rPr>
          <w:t>https://doi.org/10.3390/jof9030368</w:t>
        </w:r>
      </w:hyperlink>
      <w:r w:rsidR="008A3A6F">
        <w:t xml:space="preserve"> </w:t>
      </w:r>
    </w:p>
    <w:p w:rsidR="00573527" w:rsidRPr="004631DD" w:rsidRDefault="00573527" w:rsidP="009D1D81">
      <w:pPr>
        <w:ind w:firstLine="720"/>
      </w:pPr>
    </w:p>
    <w:sectPr w:rsidR="00573527" w:rsidRPr="004631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C20"/>
    <w:rsid w:val="000B29DE"/>
    <w:rsid w:val="000E0FEF"/>
    <w:rsid w:val="00170388"/>
    <w:rsid w:val="002F18E4"/>
    <w:rsid w:val="003C5C20"/>
    <w:rsid w:val="004631DD"/>
    <w:rsid w:val="00573527"/>
    <w:rsid w:val="007A4A9F"/>
    <w:rsid w:val="008A3A6F"/>
    <w:rsid w:val="009D1D81"/>
    <w:rsid w:val="00A35E90"/>
    <w:rsid w:val="00BB5A08"/>
    <w:rsid w:val="00CA3D32"/>
    <w:rsid w:val="00CE4B67"/>
    <w:rsid w:val="00D62CFF"/>
    <w:rsid w:val="00E44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AC157-115A-4B20-8EDB-B18F065B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B67"/>
    <w:pPr>
      <w:spacing w:after="0" w:line="480" w:lineRule="auto"/>
      <w:contextualSpacing/>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3A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160205">
      <w:bodyDiv w:val="1"/>
      <w:marLeft w:val="0"/>
      <w:marRight w:val="0"/>
      <w:marTop w:val="0"/>
      <w:marBottom w:val="0"/>
      <w:divBdr>
        <w:top w:val="none" w:sz="0" w:space="0" w:color="auto"/>
        <w:left w:val="none" w:sz="0" w:space="0" w:color="auto"/>
        <w:bottom w:val="none" w:sz="0" w:space="0" w:color="auto"/>
        <w:right w:val="none" w:sz="0" w:space="0" w:color="auto"/>
      </w:divBdr>
    </w:div>
    <w:div w:id="412051170">
      <w:bodyDiv w:val="1"/>
      <w:marLeft w:val="0"/>
      <w:marRight w:val="0"/>
      <w:marTop w:val="0"/>
      <w:marBottom w:val="0"/>
      <w:divBdr>
        <w:top w:val="none" w:sz="0" w:space="0" w:color="auto"/>
        <w:left w:val="none" w:sz="0" w:space="0" w:color="auto"/>
        <w:bottom w:val="none" w:sz="0" w:space="0" w:color="auto"/>
        <w:right w:val="none" w:sz="0" w:space="0" w:color="auto"/>
      </w:divBdr>
      <w:divsChild>
        <w:div w:id="1667590082">
          <w:marLeft w:val="0"/>
          <w:marRight w:val="0"/>
          <w:marTop w:val="0"/>
          <w:marBottom w:val="0"/>
          <w:divBdr>
            <w:top w:val="none" w:sz="0" w:space="0" w:color="auto"/>
            <w:left w:val="none" w:sz="0" w:space="0" w:color="auto"/>
            <w:bottom w:val="none" w:sz="0" w:space="0" w:color="auto"/>
            <w:right w:val="none" w:sz="0" w:space="0" w:color="auto"/>
          </w:divBdr>
        </w:div>
      </w:divsChild>
    </w:div>
    <w:div w:id="442117642">
      <w:bodyDiv w:val="1"/>
      <w:marLeft w:val="0"/>
      <w:marRight w:val="0"/>
      <w:marTop w:val="0"/>
      <w:marBottom w:val="0"/>
      <w:divBdr>
        <w:top w:val="none" w:sz="0" w:space="0" w:color="auto"/>
        <w:left w:val="none" w:sz="0" w:space="0" w:color="auto"/>
        <w:bottom w:val="none" w:sz="0" w:space="0" w:color="auto"/>
        <w:right w:val="none" w:sz="0" w:space="0" w:color="auto"/>
      </w:divBdr>
    </w:div>
    <w:div w:id="638850463">
      <w:bodyDiv w:val="1"/>
      <w:marLeft w:val="0"/>
      <w:marRight w:val="0"/>
      <w:marTop w:val="0"/>
      <w:marBottom w:val="0"/>
      <w:divBdr>
        <w:top w:val="none" w:sz="0" w:space="0" w:color="auto"/>
        <w:left w:val="none" w:sz="0" w:space="0" w:color="auto"/>
        <w:bottom w:val="none" w:sz="0" w:space="0" w:color="auto"/>
        <w:right w:val="none" w:sz="0" w:space="0" w:color="auto"/>
      </w:divBdr>
      <w:divsChild>
        <w:div w:id="1117018870">
          <w:marLeft w:val="0"/>
          <w:marRight w:val="0"/>
          <w:marTop w:val="0"/>
          <w:marBottom w:val="0"/>
          <w:divBdr>
            <w:top w:val="none" w:sz="0" w:space="0" w:color="auto"/>
            <w:left w:val="none" w:sz="0" w:space="0" w:color="auto"/>
            <w:bottom w:val="none" w:sz="0" w:space="0" w:color="auto"/>
            <w:right w:val="none" w:sz="0" w:space="0" w:color="auto"/>
          </w:divBdr>
        </w:div>
      </w:divsChild>
    </w:div>
    <w:div w:id="933434758">
      <w:bodyDiv w:val="1"/>
      <w:marLeft w:val="0"/>
      <w:marRight w:val="0"/>
      <w:marTop w:val="0"/>
      <w:marBottom w:val="0"/>
      <w:divBdr>
        <w:top w:val="none" w:sz="0" w:space="0" w:color="auto"/>
        <w:left w:val="none" w:sz="0" w:space="0" w:color="auto"/>
        <w:bottom w:val="none" w:sz="0" w:space="0" w:color="auto"/>
        <w:right w:val="none" w:sz="0" w:space="0" w:color="auto"/>
      </w:divBdr>
    </w:div>
    <w:div w:id="1073435475">
      <w:bodyDiv w:val="1"/>
      <w:marLeft w:val="0"/>
      <w:marRight w:val="0"/>
      <w:marTop w:val="0"/>
      <w:marBottom w:val="0"/>
      <w:divBdr>
        <w:top w:val="none" w:sz="0" w:space="0" w:color="auto"/>
        <w:left w:val="none" w:sz="0" w:space="0" w:color="auto"/>
        <w:bottom w:val="none" w:sz="0" w:space="0" w:color="auto"/>
        <w:right w:val="none" w:sz="0" w:space="0" w:color="auto"/>
      </w:divBdr>
    </w:div>
    <w:div w:id="1100837162">
      <w:bodyDiv w:val="1"/>
      <w:marLeft w:val="0"/>
      <w:marRight w:val="0"/>
      <w:marTop w:val="0"/>
      <w:marBottom w:val="0"/>
      <w:divBdr>
        <w:top w:val="none" w:sz="0" w:space="0" w:color="auto"/>
        <w:left w:val="none" w:sz="0" w:space="0" w:color="auto"/>
        <w:bottom w:val="none" w:sz="0" w:space="0" w:color="auto"/>
        <w:right w:val="none" w:sz="0" w:space="0" w:color="auto"/>
      </w:divBdr>
    </w:div>
    <w:div w:id="1151020246">
      <w:bodyDiv w:val="1"/>
      <w:marLeft w:val="0"/>
      <w:marRight w:val="0"/>
      <w:marTop w:val="0"/>
      <w:marBottom w:val="0"/>
      <w:divBdr>
        <w:top w:val="none" w:sz="0" w:space="0" w:color="auto"/>
        <w:left w:val="none" w:sz="0" w:space="0" w:color="auto"/>
        <w:bottom w:val="none" w:sz="0" w:space="0" w:color="auto"/>
        <w:right w:val="none" w:sz="0" w:space="0" w:color="auto"/>
      </w:divBdr>
      <w:divsChild>
        <w:div w:id="55906924">
          <w:marLeft w:val="0"/>
          <w:marRight w:val="0"/>
          <w:marTop w:val="0"/>
          <w:marBottom w:val="0"/>
          <w:divBdr>
            <w:top w:val="none" w:sz="0" w:space="0" w:color="auto"/>
            <w:left w:val="none" w:sz="0" w:space="0" w:color="auto"/>
            <w:bottom w:val="none" w:sz="0" w:space="0" w:color="auto"/>
            <w:right w:val="none" w:sz="0" w:space="0" w:color="auto"/>
          </w:divBdr>
        </w:div>
      </w:divsChild>
    </w:div>
    <w:div w:id="1231967889">
      <w:bodyDiv w:val="1"/>
      <w:marLeft w:val="0"/>
      <w:marRight w:val="0"/>
      <w:marTop w:val="0"/>
      <w:marBottom w:val="0"/>
      <w:divBdr>
        <w:top w:val="none" w:sz="0" w:space="0" w:color="auto"/>
        <w:left w:val="none" w:sz="0" w:space="0" w:color="auto"/>
        <w:bottom w:val="none" w:sz="0" w:space="0" w:color="auto"/>
        <w:right w:val="none" w:sz="0" w:space="0" w:color="auto"/>
      </w:divBdr>
    </w:div>
    <w:div w:id="1337150698">
      <w:bodyDiv w:val="1"/>
      <w:marLeft w:val="0"/>
      <w:marRight w:val="0"/>
      <w:marTop w:val="0"/>
      <w:marBottom w:val="0"/>
      <w:divBdr>
        <w:top w:val="none" w:sz="0" w:space="0" w:color="auto"/>
        <w:left w:val="none" w:sz="0" w:space="0" w:color="auto"/>
        <w:bottom w:val="none" w:sz="0" w:space="0" w:color="auto"/>
        <w:right w:val="none" w:sz="0" w:space="0" w:color="auto"/>
      </w:divBdr>
      <w:divsChild>
        <w:div w:id="175118513">
          <w:marLeft w:val="0"/>
          <w:marRight w:val="0"/>
          <w:marTop w:val="0"/>
          <w:marBottom w:val="0"/>
          <w:divBdr>
            <w:top w:val="none" w:sz="0" w:space="0" w:color="auto"/>
            <w:left w:val="none" w:sz="0" w:space="0" w:color="auto"/>
            <w:bottom w:val="none" w:sz="0" w:space="0" w:color="auto"/>
            <w:right w:val="none" w:sz="0" w:space="0" w:color="auto"/>
          </w:divBdr>
        </w:div>
      </w:divsChild>
    </w:div>
    <w:div w:id="155334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biomedicines9091266" TargetMode="External"/><Relationship Id="rId3" Type="http://schemas.openxmlformats.org/officeDocument/2006/relationships/webSettings" Target="webSettings.xml"/><Relationship Id="rId7" Type="http://schemas.openxmlformats.org/officeDocument/2006/relationships/hyperlink" Target="https://doi.org/10.3390/toxins140503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11/mcn.12917" TargetMode="External"/><Relationship Id="rId11" Type="http://schemas.openxmlformats.org/officeDocument/2006/relationships/theme" Target="theme/theme1.xml"/><Relationship Id="rId5" Type="http://schemas.openxmlformats.org/officeDocument/2006/relationships/hyperlink" Target="https://doi.org/10.1111/1541-4337.12731" TargetMode="External"/><Relationship Id="rId10" Type="http://schemas.openxmlformats.org/officeDocument/2006/relationships/fontTable" Target="fontTable.xml"/><Relationship Id="rId4" Type="http://schemas.openxmlformats.org/officeDocument/2006/relationships/hyperlink" Target="https://doi.org/10.3390/metabo13060712" TargetMode="External"/><Relationship Id="rId9" Type="http://schemas.openxmlformats.org/officeDocument/2006/relationships/hyperlink" Target="https://doi.org/10.3390/jof90303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6</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dc:creator>
  <cp:keywords/>
  <dc:description/>
  <cp:lastModifiedBy>OWEN</cp:lastModifiedBy>
  <cp:revision>5</cp:revision>
  <dcterms:created xsi:type="dcterms:W3CDTF">2023-08-11T13:28:00Z</dcterms:created>
  <dcterms:modified xsi:type="dcterms:W3CDTF">2023-08-11T16:34:00Z</dcterms:modified>
</cp:coreProperties>
</file>