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E41" w:rsidRPr="009D7E41" w:rsidRDefault="009D7E41" w:rsidP="009D7E41">
      <w:pPr>
        <w:shd w:val="clear" w:color="auto" w:fill="FFFFFF"/>
        <w:spacing w:before="100" w:beforeAutospacing="1" w:after="206" w:line="429" w:lineRule="atLeast"/>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Adverse Health Effects Associated with Aflatoxin Hazards</w:t>
      </w:r>
    </w:p>
    <w:p w:rsidR="009D7E41" w:rsidRPr="009D7E41" w:rsidRDefault="009D7E41" w:rsidP="009D7E41">
      <w:pPr>
        <w:shd w:val="clear" w:color="auto" w:fill="FFFFFF"/>
        <w:spacing w:before="206" w:after="206" w:line="429" w:lineRule="atLeast"/>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Introduction</w:t>
      </w:r>
      <w:r w:rsidRPr="009D7E41">
        <w:rPr>
          <w:rFonts w:ascii="Segoe UI" w:eastAsia="Times New Roman" w:hAnsi="Segoe UI" w:cs="Segoe UI"/>
          <w:color w:val="404040"/>
          <w:sz w:val="24"/>
          <w:szCs w:val="24"/>
        </w:rPr>
        <w:br/>
        <w:t>Aflatoxins are toxic secondary metabolites produced by the fungi </w:t>
      </w:r>
      <w:r w:rsidRPr="009D7E41">
        <w:rPr>
          <w:rFonts w:ascii="Segoe UI" w:eastAsia="Times New Roman" w:hAnsi="Segoe UI" w:cs="Segoe UI"/>
          <w:i/>
          <w:iCs/>
          <w:color w:val="404040"/>
          <w:sz w:val="24"/>
          <w:szCs w:val="24"/>
        </w:rPr>
        <w:t>Aspergillus flavus</w:t>
      </w:r>
      <w:r w:rsidRPr="009D7E41">
        <w:rPr>
          <w:rFonts w:ascii="Segoe UI" w:eastAsia="Times New Roman" w:hAnsi="Segoe UI" w:cs="Segoe UI"/>
          <w:color w:val="404040"/>
          <w:sz w:val="24"/>
          <w:szCs w:val="24"/>
        </w:rPr>
        <w:t> and </w:t>
      </w:r>
      <w:r w:rsidRPr="009D7E41">
        <w:rPr>
          <w:rFonts w:ascii="Segoe UI" w:eastAsia="Times New Roman" w:hAnsi="Segoe UI" w:cs="Segoe UI"/>
          <w:i/>
          <w:iCs/>
          <w:color w:val="404040"/>
          <w:sz w:val="24"/>
          <w:szCs w:val="24"/>
        </w:rPr>
        <w:t xml:space="preserve">Aspergillus </w:t>
      </w:r>
      <w:proofErr w:type="spellStart"/>
      <w:r w:rsidRPr="009D7E41">
        <w:rPr>
          <w:rFonts w:ascii="Segoe UI" w:eastAsia="Times New Roman" w:hAnsi="Segoe UI" w:cs="Segoe UI"/>
          <w:i/>
          <w:iCs/>
          <w:color w:val="404040"/>
          <w:sz w:val="24"/>
          <w:szCs w:val="24"/>
        </w:rPr>
        <w:t>parasiticus</w:t>
      </w:r>
      <w:proofErr w:type="spellEnd"/>
      <w:r w:rsidRPr="009D7E41">
        <w:rPr>
          <w:rFonts w:ascii="Segoe UI" w:eastAsia="Times New Roman" w:hAnsi="Segoe UI" w:cs="Segoe UI"/>
          <w:color w:val="404040"/>
          <w:sz w:val="24"/>
          <w:szCs w:val="24"/>
        </w:rPr>
        <w:t>, which thrive in warm, humid environments. These mycotoxins contaminate staple crops such as maize, peanuts, cottonseed, and tree nuts, posing significant health risks to humans and animals. Exposure occurs primarily through ingestion of contaminated food, though inhalation and dermal contact are also possible. Aflatoxins, particularly aflatoxin B1 (AFB1), are classified as Group 1 carcinogens by the International Agency for Research on Cancer (IARC). This paper explores the acute and chronic health effects of aflatoxin exposure, emphasizing their mechanisms, epidemiological evidence, and impacts on vulnerable populations.</w:t>
      </w:r>
    </w:p>
    <w:p w:rsidR="009D7E41" w:rsidRPr="009D7E41" w:rsidRDefault="009D7E41" w:rsidP="009D7E41">
      <w:pPr>
        <w:shd w:val="clear" w:color="auto" w:fill="FFFFFF"/>
        <w:spacing w:before="274" w:after="206" w:line="240" w:lineRule="auto"/>
        <w:outlineLvl w:val="2"/>
        <w:rPr>
          <w:rFonts w:ascii="Segoe UI" w:eastAsia="Times New Roman" w:hAnsi="Segoe UI" w:cs="Segoe UI"/>
          <w:color w:val="404040"/>
          <w:sz w:val="27"/>
          <w:szCs w:val="27"/>
        </w:rPr>
      </w:pPr>
      <w:r w:rsidRPr="009D7E41">
        <w:rPr>
          <w:rFonts w:ascii="Segoe UI" w:eastAsia="Times New Roman" w:hAnsi="Segoe UI" w:cs="Segoe UI"/>
          <w:b/>
          <w:bCs/>
          <w:color w:val="404040"/>
          <w:sz w:val="27"/>
          <w:szCs w:val="27"/>
        </w:rPr>
        <w:t>1. Acute Health Effects (Aflatoxicosis)</w:t>
      </w:r>
    </w:p>
    <w:p w:rsidR="009D7E41" w:rsidRPr="009D7E41" w:rsidRDefault="009D7E41" w:rsidP="009D7E41">
      <w:pPr>
        <w:shd w:val="clear" w:color="auto" w:fill="FFFFFF"/>
        <w:spacing w:before="206" w:after="206" w:line="429" w:lineRule="atLeast"/>
        <w:rPr>
          <w:rFonts w:ascii="Segoe UI" w:eastAsia="Times New Roman" w:hAnsi="Segoe UI" w:cs="Segoe UI"/>
          <w:color w:val="404040"/>
          <w:sz w:val="24"/>
          <w:szCs w:val="24"/>
        </w:rPr>
      </w:pPr>
      <w:r w:rsidRPr="009D7E41">
        <w:rPr>
          <w:rFonts w:ascii="Segoe UI" w:eastAsia="Times New Roman" w:hAnsi="Segoe UI" w:cs="Segoe UI"/>
          <w:color w:val="404040"/>
          <w:sz w:val="24"/>
          <w:szCs w:val="24"/>
        </w:rPr>
        <w:t>Acute aflatoxicosis results from high-dose exposure over a short period, leading to severe liver damage. Symptoms manifest within hours to days and include jaundice, abdominal pain, vomiting, hemorrhagic necrosis, and edema. In extreme cases, acute liver failure and death occur.</w:t>
      </w:r>
    </w:p>
    <w:p w:rsidR="009D7E41" w:rsidRPr="009D7E41" w:rsidRDefault="009D7E41" w:rsidP="009D7E41">
      <w:pPr>
        <w:numPr>
          <w:ilvl w:val="0"/>
          <w:numId w:val="1"/>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Case Study</w:t>
      </w:r>
      <w:r w:rsidRPr="009D7E41">
        <w:rPr>
          <w:rFonts w:ascii="Segoe UI" w:eastAsia="Times New Roman" w:hAnsi="Segoe UI" w:cs="Segoe UI"/>
          <w:color w:val="404040"/>
          <w:sz w:val="24"/>
          <w:szCs w:val="24"/>
        </w:rPr>
        <w:t>: The 2004 Kenya outbreak, linked to contaminated maize, resulted in 317 cases and 125 deaths. Autopsies revealed extensive liver necrosis and bile duct proliferation.</w:t>
      </w:r>
    </w:p>
    <w:p w:rsidR="009D7E41" w:rsidRPr="009D7E41" w:rsidRDefault="009D7E41" w:rsidP="009D7E41">
      <w:pPr>
        <w:numPr>
          <w:ilvl w:val="0"/>
          <w:numId w:val="1"/>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Pathophysiology</w:t>
      </w:r>
      <w:r w:rsidRPr="009D7E41">
        <w:rPr>
          <w:rFonts w:ascii="Segoe UI" w:eastAsia="Times New Roman" w:hAnsi="Segoe UI" w:cs="Segoe UI"/>
          <w:color w:val="404040"/>
          <w:sz w:val="24"/>
          <w:szCs w:val="24"/>
        </w:rPr>
        <w:t>: AFB1 is metabolized in the liver by cytochrome P450 enzymes into a reactive epoxide (AFB1-8,9-epoxide), which binds to DNA and proteins, disrupting cellular function. This process triggers oxidative stress, lipid peroxidation, and mitochondrial dysfunction, culminating in hepatocyte apoptosis.</w:t>
      </w:r>
    </w:p>
    <w:p w:rsidR="009D7E41" w:rsidRPr="009D7E41" w:rsidRDefault="009D7E41" w:rsidP="009D7E41">
      <w:pPr>
        <w:numPr>
          <w:ilvl w:val="0"/>
          <w:numId w:val="1"/>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Treatment Challenges</w:t>
      </w:r>
      <w:r w:rsidRPr="009D7E41">
        <w:rPr>
          <w:rFonts w:ascii="Segoe UI" w:eastAsia="Times New Roman" w:hAnsi="Segoe UI" w:cs="Segoe UI"/>
          <w:color w:val="404040"/>
          <w:sz w:val="24"/>
          <w:szCs w:val="24"/>
        </w:rPr>
        <w:t>: No antidote exists; management focuses on supportive care (e.g., hydration, blood transfusions). Poor healthcare infrastructure in endemic regions exacerbates mortality.</w:t>
      </w:r>
    </w:p>
    <w:p w:rsidR="009D7E41" w:rsidRPr="009D7E41" w:rsidRDefault="009D7E41" w:rsidP="009D7E41">
      <w:pPr>
        <w:shd w:val="clear" w:color="auto" w:fill="FFFFFF"/>
        <w:spacing w:before="274" w:after="206" w:line="240" w:lineRule="auto"/>
        <w:outlineLvl w:val="2"/>
        <w:rPr>
          <w:rFonts w:ascii="Segoe UI" w:eastAsia="Times New Roman" w:hAnsi="Segoe UI" w:cs="Segoe UI"/>
          <w:color w:val="404040"/>
          <w:sz w:val="27"/>
          <w:szCs w:val="27"/>
        </w:rPr>
      </w:pPr>
      <w:r w:rsidRPr="009D7E41">
        <w:rPr>
          <w:rFonts w:ascii="Segoe UI" w:eastAsia="Times New Roman" w:hAnsi="Segoe UI" w:cs="Segoe UI"/>
          <w:b/>
          <w:bCs/>
          <w:color w:val="404040"/>
          <w:sz w:val="27"/>
          <w:szCs w:val="27"/>
        </w:rPr>
        <w:t>2. Chronic Health Effects</w:t>
      </w:r>
    </w:p>
    <w:p w:rsidR="009D7E41" w:rsidRPr="009D7E41" w:rsidRDefault="009D7E41" w:rsidP="009D7E41">
      <w:pPr>
        <w:shd w:val="clear" w:color="auto" w:fill="FFFFFF"/>
        <w:spacing w:before="274" w:after="206" w:line="429" w:lineRule="atLeast"/>
        <w:outlineLvl w:val="3"/>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lastRenderedPageBreak/>
        <w:t>2.1 Hepatocellular Carcinoma (HCC)</w:t>
      </w:r>
    </w:p>
    <w:p w:rsidR="009D7E41" w:rsidRPr="009D7E41" w:rsidRDefault="009D7E41" w:rsidP="009D7E41">
      <w:pPr>
        <w:shd w:val="clear" w:color="auto" w:fill="FFFFFF"/>
        <w:spacing w:before="206" w:after="206" w:line="429" w:lineRule="atLeast"/>
        <w:rPr>
          <w:rFonts w:ascii="Segoe UI" w:eastAsia="Times New Roman" w:hAnsi="Segoe UI" w:cs="Segoe UI"/>
          <w:color w:val="404040"/>
          <w:sz w:val="24"/>
          <w:szCs w:val="24"/>
        </w:rPr>
      </w:pPr>
      <w:r w:rsidRPr="009D7E41">
        <w:rPr>
          <w:rFonts w:ascii="Segoe UI" w:eastAsia="Times New Roman" w:hAnsi="Segoe UI" w:cs="Segoe UI"/>
          <w:color w:val="404040"/>
          <w:sz w:val="24"/>
          <w:szCs w:val="24"/>
        </w:rPr>
        <w:t>Chronic low-dose exposure to AFB1 is a major risk factor for HCC, the third-leading cause of cancer deaths globally.</w:t>
      </w:r>
    </w:p>
    <w:p w:rsidR="009D7E41" w:rsidRPr="009D7E41" w:rsidRDefault="009D7E41" w:rsidP="009D7E41">
      <w:pPr>
        <w:numPr>
          <w:ilvl w:val="0"/>
          <w:numId w:val="2"/>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Mechanism</w:t>
      </w:r>
      <w:r w:rsidRPr="009D7E41">
        <w:rPr>
          <w:rFonts w:ascii="Segoe UI" w:eastAsia="Times New Roman" w:hAnsi="Segoe UI" w:cs="Segoe UI"/>
          <w:color w:val="404040"/>
          <w:sz w:val="24"/>
          <w:szCs w:val="24"/>
        </w:rPr>
        <w:t>: AFB1 epoxide forms DNA adducts, notably at codon 249 of the </w:t>
      </w:r>
      <w:r w:rsidRPr="009D7E41">
        <w:rPr>
          <w:rFonts w:ascii="Segoe UI" w:eastAsia="Times New Roman" w:hAnsi="Segoe UI" w:cs="Segoe UI"/>
          <w:i/>
          <w:iCs/>
          <w:color w:val="404040"/>
          <w:sz w:val="24"/>
          <w:szCs w:val="24"/>
        </w:rPr>
        <w:t>TP53</w:t>
      </w:r>
      <w:r w:rsidRPr="009D7E41">
        <w:rPr>
          <w:rFonts w:ascii="Segoe UI" w:eastAsia="Times New Roman" w:hAnsi="Segoe UI" w:cs="Segoe UI"/>
          <w:color w:val="404040"/>
          <w:sz w:val="24"/>
          <w:szCs w:val="24"/>
        </w:rPr>
        <w:t> tumor suppressor gene, inducing G→T transversions. This mutation impairs DNA repair and promotes uncontrolled cell proliferation.</w:t>
      </w:r>
    </w:p>
    <w:p w:rsidR="009D7E41" w:rsidRPr="009D7E41" w:rsidRDefault="009D7E41" w:rsidP="009D7E41">
      <w:pPr>
        <w:numPr>
          <w:ilvl w:val="0"/>
          <w:numId w:val="2"/>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Synergy with Hepatitis B Virus (HBV)</w:t>
      </w:r>
      <w:r w:rsidRPr="009D7E41">
        <w:rPr>
          <w:rFonts w:ascii="Segoe UI" w:eastAsia="Times New Roman" w:hAnsi="Segoe UI" w:cs="Segoe UI"/>
          <w:color w:val="404040"/>
          <w:sz w:val="24"/>
          <w:szCs w:val="24"/>
        </w:rPr>
        <w:t>: Co-exposure to AFB1 and HBV increases HCC risk 30-fold. HBV induces chronic inflammation, while AFB1 amplifies mutagenesis. In regions like sub-Saharan Africa and Southeast Asia, where HBV prevalence exceeds 8%, this synergy drives high HCC incidence.</w:t>
      </w:r>
    </w:p>
    <w:p w:rsidR="009D7E41" w:rsidRPr="009D7E41" w:rsidRDefault="009D7E41" w:rsidP="009D7E41">
      <w:pPr>
        <w:numPr>
          <w:ilvl w:val="0"/>
          <w:numId w:val="2"/>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Epidemiology</w:t>
      </w:r>
      <w:r w:rsidRPr="009D7E41">
        <w:rPr>
          <w:rFonts w:ascii="Segoe UI" w:eastAsia="Times New Roman" w:hAnsi="Segoe UI" w:cs="Segoe UI"/>
          <w:color w:val="404040"/>
          <w:sz w:val="24"/>
          <w:szCs w:val="24"/>
        </w:rPr>
        <w:t xml:space="preserve">: A 2012 meta-analysis found a 6-fold increased HCC risk with detectable AFB1-albumin adducts. China’s </w:t>
      </w:r>
      <w:proofErr w:type="spellStart"/>
      <w:r w:rsidRPr="009D7E41">
        <w:rPr>
          <w:rFonts w:ascii="Segoe UI" w:eastAsia="Times New Roman" w:hAnsi="Segoe UI" w:cs="Segoe UI"/>
          <w:color w:val="404040"/>
          <w:sz w:val="24"/>
          <w:szCs w:val="24"/>
        </w:rPr>
        <w:t>Qidong</w:t>
      </w:r>
      <w:proofErr w:type="spellEnd"/>
      <w:r w:rsidRPr="009D7E41">
        <w:rPr>
          <w:rFonts w:ascii="Segoe UI" w:eastAsia="Times New Roman" w:hAnsi="Segoe UI" w:cs="Segoe UI"/>
          <w:color w:val="404040"/>
          <w:sz w:val="24"/>
          <w:szCs w:val="24"/>
        </w:rPr>
        <w:t xml:space="preserve"> County reports HCC rates of 50–100 per 100,000, linked to AFB1-contaminated maize.</w:t>
      </w:r>
    </w:p>
    <w:p w:rsidR="009D7E41" w:rsidRPr="009D7E41" w:rsidRDefault="009D7E41" w:rsidP="009D7E41">
      <w:pPr>
        <w:shd w:val="clear" w:color="auto" w:fill="FFFFFF"/>
        <w:spacing w:before="274" w:after="206" w:line="429" w:lineRule="atLeast"/>
        <w:outlineLvl w:val="3"/>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2.2 Immunosuppression</w:t>
      </w:r>
    </w:p>
    <w:p w:rsidR="009D7E41" w:rsidRPr="009D7E41" w:rsidRDefault="009D7E41" w:rsidP="009D7E41">
      <w:pPr>
        <w:shd w:val="clear" w:color="auto" w:fill="FFFFFF"/>
        <w:spacing w:before="206" w:after="206" w:line="429" w:lineRule="atLeast"/>
        <w:rPr>
          <w:rFonts w:ascii="Segoe UI" w:eastAsia="Times New Roman" w:hAnsi="Segoe UI" w:cs="Segoe UI"/>
          <w:color w:val="404040"/>
          <w:sz w:val="24"/>
          <w:szCs w:val="24"/>
        </w:rPr>
      </w:pPr>
      <w:r w:rsidRPr="009D7E41">
        <w:rPr>
          <w:rFonts w:ascii="Segoe UI" w:eastAsia="Times New Roman" w:hAnsi="Segoe UI" w:cs="Segoe UI"/>
          <w:color w:val="404040"/>
          <w:sz w:val="24"/>
          <w:szCs w:val="24"/>
        </w:rPr>
        <w:t>Aflatoxins suppress both innate and adaptive immunity, increasing susceptibility to infections:</w:t>
      </w:r>
    </w:p>
    <w:p w:rsidR="009D7E41" w:rsidRPr="009D7E41" w:rsidRDefault="009D7E41" w:rsidP="009D7E41">
      <w:pPr>
        <w:numPr>
          <w:ilvl w:val="0"/>
          <w:numId w:val="3"/>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Immune Cell Dysfunction</w:t>
      </w:r>
      <w:r w:rsidRPr="009D7E41">
        <w:rPr>
          <w:rFonts w:ascii="Segoe UI" w:eastAsia="Times New Roman" w:hAnsi="Segoe UI" w:cs="Segoe UI"/>
          <w:color w:val="404040"/>
          <w:sz w:val="24"/>
          <w:szCs w:val="24"/>
        </w:rPr>
        <w:t>: AFB1 inhibits macrophage phagocytosis, reduces CD4+ T-cell counts, and alters cytokine production (e.g., decreased IFN-γ, IL-2).</w:t>
      </w:r>
    </w:p>
    <w:p w:rsidR="009D7E41" w:rsidRPr="009D7E41" w:rsidRDefault="009D7E41" w:rsidP="009D7E41">
      <w:pPr>
        <w:numPr>
          <w:ilvl w:val="0"/>
          <w:numId w:val="3"/>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Infectious Disease Vulnerability</w:t>
      </w:r>
      <w:r w:rsidRPr="009D7E41">
        <w:rPr>
          <w:rFonts w:ascii="Segoe UI" w:eastAsia="Times New Roman" w:hAnsi="Segoe UI" w:cs="Segoe UI"/>
          <w:color w:val="404040"/>
          <w:sz w:val="24"/>
          <w:szCs w:val="24"/>
        </w:rPr>
        <w:t>: In Ghana, children with high aflatoxin exposure had 30% higher malaria incidence. Aflatoxin-albumin adducts correlate with increased HIV viral load in pregnant women.</w:t>
      </w:r>
    </w:p>
    <w:p w:rsidR="009D7E41" w:rsidRPr="009D7E41" w:rsidRDefault="009D7E41" w:rsidP="009D7E41">
      <w:pPr>
        <w:numPr>
          <w:ilvl w:val="0"/>
          <w:numId w:val="3"/>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Vaccine Efficacy</w:t>
      </w:r>
      <w:r w:rsidRPr="009D7E41">
        <w:rPr>
          <w:rFonts w:ascii="Segoe UI" w:eastAsia="Times New Roman" w:hAnsi="Segoe UI" w:cs="Segoe UI"/>
          <w:color w:val="404040"/>
          <w:sz w:val="24"/>
          <w:szCs w:val="24"/>
        </w:rPr>
        <w:t>: A Gambian study showed reduced antibody response to measles vaccine in aflatoxin-exposed children, undermining public health efforts.</w:t>
      </w:r>
    </w:p>
    <w:p w:rsidR="009D7E41" w:rsidRPr="009D7E41" w:rsidRDefault="009D7E41" w:rsidP="009D7E41">
      <w:pPr>
        <w:shd w:val="clear" w:color="auto" w:fill="FFFFFF"/>
        <w:spacing w:before="274" w:after="206" w:line="429" w:lineRule="atLeast"/>
        <w:outlineLvl w:val="3"/>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2.3 Growth Retardation and Developmental Impacts</w:t>
      </w:r>
    </w:p>
    <w:p w:rsidR="009D7E41" w:rsidRPr="009D7E41" w:rsidRDefault="009D7E41" w:rsidP="009D7E41">
      <w:pPr>
        <w:shd w:val="clear" w:color="auto" w:fill="FFFFFF"/>
        <w:spacing w:before="206" w:after="206" w:line="429" w:lineRule="atLeast"/>
        <w:rPr>
          <w:rFonts w:ascii="Segoe UI" w:eastAsia="Times New Roman" w:hAnsi="Segoe UI" w:cs="Segoe UI"/>
          <w:color w:val="404040"/>
          <w:sz w:val="24"/>
          <w:szCs w:val="24"/>
        </w:rPr>
      </w:pPr>
      <w:r w:rsidRPr="009D7E41">
        <w:rPr>
          <w:rFonts w:ascii="Segoe UI" w:eastAsia="Times New Roman" w:hAnsi="Segoe UI" w:cs="Segoe UI"/>
          <w:color w:val="404040"/>
          <w:sz w:val="24"/>
          <w:szCs w:val="24"/>
        </w:rPr>
        <w:t>Chronic exposure in children correlates with stunting and underweight conditions:</w:t>
      </w:r>
    </w:p>
    <w:p w:rsidR="009D7E41" w:rsidRPr="009D7E41" w:rsidRDefault="009D7E41" w:rsidP="009D7E41">
      <w:pPr>
        <w:numPr>
          <w:ilvl w:val="0"/>
          <w:numId w:val="4"/>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lastRenderedPageBreak/>
        <w:t>Mechanisms</w:t>
      </w:r>
      <w:r w:rsidRPr="009D7E41">
        <w:rPr>
          <w:rFonts w:ascii="Segoe UI" w:eastAsia="Times New Roman" w:hAnsi="Segoe UI" w:cs="Segoe UI"/>
          <w:color w:val="404040"/>
          <w:sz w:val="24"/>
          <w:szCs w:val="24"/>
        </w:rPr>
        <w:t>: Aflatoxins impair nutrient absorption (e.g., vitamins A, D) and protein synthesis via ribosomal RNA inhibition. Oxidative stress further disrupts growth pathways.</w:t>
      </w:r>
    </w:p>
    <w:p w:rsidR="009D7E41" w:rsidRPr="009D7E41" w:rsidRDefault="009D7E41" w:rsidP="009D7E41">
      <w:pPr>
        <w:numPr>
          <w:ilvl w:val="0"/>
          <w:numId w:val="4"/>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Prenatal Exposure</w:t>
      </w:r>
      <w:r w:rsidRPr="009D7E41">
        <w:rPr>
          <w:rFonts w:ascii="Segoe UI" w:eastAsia="Times New Roman" w:hAnsi="Segoe UI" w:cs="Segoe UI"/>
          <w:color w:val="404040"/>
          <w:sz w:val="24"/>
          <w:szCs w:val="24"/>
        </w:rPr>
        <w:t>: Transplacental transfer of AFB1 and detection of AFM1 (a hydroxylated metabolite) in breast milk are linked to low birth weight and developmental delays. A 2010 study in Tanzania associated maternal aflatoxin exposure with 30% higher stunting rates in infants.</w:t>
      </w:r>
    </w:p>
    <w:p w:rsidR="009D7E41" w:rsidRPr="009D7E41" w:rsidRDefault="009D7E41" w:rsidP="009D7E41">
      <w:pPr>
        <w:shd w:val="clear" w:color="auto" w:fill="FFFFFF"/>
        <w:spacing w:before="274" w:after="206" w:line="429" w:lineRule="atLeast"/>
        <w:outlineLvl w:val="3"/>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2.4 Other Organ Damage</w:t>
      </w:r>
    </w:p>
    <w:p w:rsidR="009D7E41" w:rsidRPr="009D7E41" w:rsidRDefault="009D7E41" w:rsidP="009D7E41">
      <w:pPr>
        <w:numPr>
          <w:ilvl w:val="0"/>
          <w:numId w:val="5"/>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Nephrotoxicity</w:t>
      </w:r>
      <w:r w:rsidRPr="009D7E41">
        <w:rPr>
          <w:rFonts w:ascii="Segoe UI" w:eastAsia="Times New Roman" w:hAnsi="Segoe UI" w:cs="Segoe UI"/>
          <w:color w:val="404040"/>
          <w:sz w:val="24"/>
          <w:szCs w:val="24"/>
        </w:rPr>
        <w:t>: Animal studies show AFB1-induced renal tubular degeneration and oxidative stress. Human data are limited but suggest potential kidney dysfunction.</w:t>
      </w:r>
    </w:p>
    <w:p w:rsidR="009D7E41" w:rsidRPr="009D7E41" w:rsidRDefault="009D7E41" w:rsidP="009D7E41">
      <w:pPr>
        <w:numPr>
          <w:ilvl w:val="0"/>
          <w:numId w:val="5"/>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Respiratory Effects</w:t>
      </w:r>
      <w:r w:rsidRPr="009D7E41">
        <w:rPr>
          <w:rFonts w:ascii="Segoe UI" w:eastAsia="Times New Roman" w:hAnsi="Segoe UI" w:cs="Segoe UI"/>
          <w:color w:val="404040"/>
          <w:sz w:val="24"/>
          <w:szCs w:val="24"/>
        </w:rPr>
        <w:t>: Agricultural workers inhaling aflatoxin-laden dust may face pulmonary inflammation, though evidence remains anecdotal.</w:t>
      </w:r>
    </w:p>
    <w:p w:rsidR="009D7E41" w:rsidRPr="009D7E41" w:rsidRDefault="009D7E41" w:rsidP="009D7E41">
      <w:pPr>
        <w:shd w:val="clear" w:color="auto" w:fill="FFFFFF"/>
        <w:spacing w:before="274" w:after="206" w:line="240" w:lineRule="auto"/>
        <w:outlineLvl w:val="2"/>
        <w:rPr>
          <w:rFonts w:ascii="Segoe UI" w:eastAsia="Times New Roman" w:hAnsi="Segoe UI" w:cs="Segoe UI"/>
          <w:color w:val="404040"/>
          <w:sz w:val="27"/>
          <w:szCs w:val="27"/>
        </w:rPr>
      </w:pPr>
      <w:r w:rsidRPr="009D7E41">
        <w:rPr>
          <w:rFonts w:ascii="Segoe UI" w:eastAsia="Times New Roman" w:hAnsi="Segoe UI" w:cs="Segoe UI"/>
          <w:b/>
          <w:bCs/>
          <w:color w:val="404040"/>
          <w:sz w:val="27"/>
          <w:szCs w:val="27"/>
        </w:rPr>
        <w:t>3. Vulnerable Populations</w:t>
      </w:r>
    </w:p>
    <w:p w:rsidR="009D7E41" w:rsidRPr="009D7E41" w:rsidRDefault="009D7E41" w:rsidP="009D7E41">
      <w:pPr>
        <w:numPr>
          <w:ilvl w:val="0"/>
          <w:numId w:val="6"/>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Children</w:t>
      </w:r>
      <w:r w:rsidRPr="009D7E41">
        <w:rPr>
          <w:rFonts w:ascii="Segoe UI" w:eastAsia="Times New Roman" w:hAnsi="Segoe UI" w:cs="Segoe UI"/>
          <w:color w:val="404040"/>
          <w:sz w:val="24"/>
          <w:szCs w:val="24"/>
        </w:rPr>
        <w:t>: Higher metabolic rates and developing organ systems increase susceptibility. A 2015 study in Benin found 95% of children had detectable AFB1-albumin adducts, correlating with a 1.5 cm height reduction.</w:t>
      </w:r>
    </w:p>
    <w:p w:rsidR="009D7E41" w:rsidRPr="009D7E41" w:rsidRDefault="009D7E41" w:rsidP="009D7E41">
      <w:pPr>
        <w:numPr>
          <w:ilvl w:val="0"/>
          <w:numId w:val="6"/>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Pregnant Women</w:t>
      </w:r>
      <w:r w:rsidRPr="009D7E41">
        <w:rPr>
          <w:rFonts w:ascii="Segoe UI" w:eastAsia="Times New Roman" w:hAnsi="Segoe UI" w:cs="Segoe UI"/>
          <w:color w:val="404040"/>
          <w:sz w:val="24"/>
          <w:szCs w:val="24"/>
        </w:rPr>
        <w:t>: Exposure risks fetal programming errors, contributing to intergenerational health disparities.</w:t>
      </w:r>
    </w:p>
    <w:p w:rsidR="009D7E41" w:rsidRPr="009D7E41" w:rsidRDefault="009D7E41" w:rsidP="009D7E41">
      <w:pPr>
        <w:numPr>
          <w:ilvl w:val="0"/>
          <w:numId w:val="6"/>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Immunocompromised Individuals</w:t>
      </w:r>
      <w:r w:rsidRPr="009D7E41">
        <w:rPr>
          <w:rFonts w:ascii="Segoe UI" w:eastAsia="Times New Roman" w:hAnsi="Segoe UI" w:cs="Segoe UI"/>
          <w:color w:val="404040"/>
          <w:sz w:val="24"/>
          <w:szCs w:val="24"/>
        </w:rPr>
        <w:t>: HIV/AIDS patients experience accelerated disease progression due to aflatoxin-induced immunosuppression.</w:t>
      </w:r>
    </w:p>
    <w:p w:rsidR="009D7E41" w:rsidRPr="009D7E41" w:rsidRDefault="009D7E41" w:rsidP="009D7E41">
      <w:pPr>
        <w:numPr>
          <w:ilvl w:val="0"/>
          <w:numId w:val="6"/>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Geographic Hotspots</w:t>
      </w:r>
      <w:r w:rsidRPr="009D7E41">
        <w:rPr>
          <w:rFonts w:ascii="Segoe UI" w:eastAsia="Times New Roman" w:hAnsi="Segoe UI" w:cs="Segoe UI"/>
          <w:color w:val="404040"/>
          <w:sz w:val="24"/>
          <w:szCs w:val="24"/>
        </w:rPr>
        <w:t>: Sub-Saharan Africa and South Asia face dual burdens of staple crop contamination and limited regulatory enforcement.</w:t>
      </w:r>
    </w:p>
    <w:p w:rsidR="009D7E41" w:rsidRPr="009D7E41" w:rsidRDefault="009D7E41" w:rsidP="009D7E41">
      <w:pPr>
        <w:shd w:val="clear" w:color="auto" w:fill="FFFFFF"/>
        <w:spacing w:before="274" w:after="206" w:line="240" w:lineRule="auto"/>
        <w:outlineLvl w:val="2"/>
        <w:rPr>
          <w:rFonts w:ascii="Segoe UI" w:eastAsia="Times New Roman" w:hAnsi="Segoe UI" w:cs="Segoe UI"/>
          <w:color w:val="404040"/>
          <w:sz w:val="27"/>
          <w:szCs w:val="27"/>
        </w:rPr>
      </w:pPr>
      <w:r w:rsidRPr="009D7E41">
        <w:rPr>
          <w:rFonts w:ascii="Segoe UI" w:eastAsia="Times New Roman" w:hAnsi="Segoe UI" w:cs="Segoe UI"/>
          <w:b/>
          <w:bCs/>
          <w:color w:val="404040"/>
          <w:sz w:val="27"/>
          <w:szCs w:val="27"/>
        </w:rPr>
        <w:t>4. Biomarkers and Diagnosis</w:t>
      </w:r>
    </w:p>
    <w:p w:rsidR="009D7E41" w:rsidRPr="009D7E41" w:rsidRDefault="009D7E41" w:rsidP="009D7E41">
      <w:pPr>
        <w:numPr>
          <w:ilvl w:val="0"/>
          <w:numId w:val="7"/>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Aflatoxin-Albumin Adducts</w:t>
      </w:r>
      <w:r w:rsidRPr="009D7E41">
        <w:rPr>
          <w:rFonts w:ascii="Segoe UI" w:eastAsia="Times New Roman" w:hAnsi="Segoe UI" w:cs="Segoe UI"/>
          <w:color w:val="404040"/>
          <w:sz w:val="24"/>
          <w:szCs w:val="24"/>
        </w:rPr>
        <w:t>: Reflect exposure over 2–3 months; used in cohort studies.</w:t>
      </w:r>
    </w:p>
    <w:p w:rsidR="009D7E41" w:rsidRPr="009D7E41" w:rsidRDefault="009D7E41" w:rsidP="009D7E41">
      <w:pPr>
        <w:numPr>
          <w:ilvl w:val="0"/>
          <w:numId w:val="7"/>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AFM1 in Urine/Breast Milk</w:t>
      </w:r>
      <w:r w:rsidRPr="009D7E41">
        <w:rPr>
          <w:rFonts w:ascii="Segoe UI" w:eastAsia="Times New Roman" w:hAnsi="Segoe UI" w:cs="Segoe UI"/>
          <w:color w:val="404040"/>
          <w:sz w:val="24"/>
          <w:szCs w:val="24"/>
        </w:rPr>
        <w:t>: Indicates recent AFB1 intake; detected in 70% of breast milk samples in Nigeria.</w:t>
      </w:r>
    </w:p>
    <w:p w:rsidR="009D7E41" w:rsidRPr="009D7E41" w:rsidRDefault="009D7E41" w:rsidP="009D7E41">
      <w:pPr>
        <w:numPr>
          <w:ilvl w:val="0"/>
          <w:numId w:val="7"/>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DNA Adducts</w:t>
      </w:r>
      <w:r w:rsidRPr="009D7E41">
        <w:rPr>
          <w:rFonts w:ascii="Segoe UI" w:eastAsia="Times New Roman" w:hAnsi="Segoe UI" w:cs="Segoe UI"/>
          <w:color w:val="404040"/>
          <w:sz w:val="24"/>
          <w:szCs w:val="24"/>
        </w:rPr>
        <w:t>: Long-term exposure markers; predictive of HCC risk.</w:t>
      </w:r>
    </w:p>
    <w:p w:rsidR="009D7E41" w:rsidRDefault="009D7E41" w:rsidP="009D7E41">
      <w:pPr>
        <w:shd w:val="clear" w:color="auto" w:fill="FFFFFF"/>
        <w:spacing w:before="274" w:after="206" w:line="240" w:lineRule="auto"/>
        <w:outlineLvl w:val="2"/>
        <w:rPr>
          <w:rFonts w:ascii="Segoe UI" w:eastAsia="Times New Roman" w:hAnsi="Segoe UI" w:cs="Segoe UI"/>
          <w:b/>
          <w:bCs/>
          <w:color w:val="404040"/>
          <w:sz w:val="27"/>
          <w:szCs w:val="27"/>
        </w:rPr>
      </w:pPr>
    </w:p>
    <w:p w:rsidR="009D7E41" w:rsidRPr="009D7E41" w:rsidRDefault="009D7E41" w:rsidP="009D7E41">
      <w:pPr>
        <w:shd w:val="clear" w:color="auto" w:fill="FFFFFF"/>
        <w:spacing w:before="274" w:after="206" w:line="240" w:lineRule="auto"/>
        <w:outlineLvl w:val="2"/>
        <w:rPr>
          <w:rFonts w:ascii="Segoe UI" w:eastAsia="Times New Roman" w:hAnsi="Segoe UI" w:cs="Segoe UI"/>
          <w:color w:val="404040"/>
          <w:sz w:val="27"/>
          <w:szCs w:val="27"/>
        </w:rPr>
      </w:pPr>
      <w:r w:rsidRPr="009D7E41">
        <w:rPr>
          <w:rFonts w:ascii="Segoe UI" w:eastAsia="Times New Roman" w:hAnsi="Segoe UI" w:cs="Segoe UI"/>
          <w:b/>
          <w:bCs/>
          <w:color w:val="404040"/>
          <w:sz w:val="27"/>
          <w:szCs w:val="27"/>
        </w:rPr>
        <w:t>Conclusion</w:t>
      </w:r>
    </w:p>
    <w:p w:rsidR="009D7E41" w:rsidRPr="009D7E41" w:rsidRDefault="009D7E41" w:rsidP="009D7E41">
      <w:pPr>
        <w:shd w:val="clear" w:color="auto" w:fill="FFFFFF"/>
        <w:spacing w:before="206" w:after="206" w:line="429" w:lineRule="atLeast"/>
        <w:rPr>
          <w:rFonts w:ascii="Segoe UI" w:eastAsia="Times New Roman" w:hAnsi="Segoe UI" w:cs="Segoe UI"/>
          <w:color w:val="404040"/>
          <w:sz w:val="24"/>
          <w:szCs w:val="24"/>
        </w:rPr>
      </w:pPr>
      <w:r w:rsidRPr="009D7E41">
        <w:rPr>
          <w:rFonts w:ascii="Segoe UI" w:eastAsia="Times New Roman" w:hAnsi="Segoe UI" w:cs="Segoe UI"/>
          <w:color w:val="404040"/>
          <w:sz w:val="24"/>
          <w:szCs w:val="24"/>
        </w:rPr>
        <w:t>Aflatoxins pose profound health threats, from acute liver failure to chronic carcinogenesis and immunosuppression. Synergistic interactions with infections like HBV amplify mortality, particularly in low-resource settings. Addressing this crisis requires integrated strategies:</w:t>
      </w:r>
    </w:p>
    <w:p w:rsidR="009D7E41" w:rsidRPr="009D7E41" w:rsidRDefault="009D7E41" w:rsidP="009D7E41">
      <w:pPr>
        <w:numPr>
          <w:ilvl w:val="0"/>
          <w:numId w:val="8"/>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Agricultural Interventions</w:t>
      </w:r>
      <w:r w:rsidRPr="009D7E41">
        <w:rPr>
          <w:rFonts w:ascii="Segoe UI" w:eastAsia="Times New Roman" w:hAnsi="Segoe UI" w:cs="Segoe UI"/>
          <w:color w:val="404040"/>
          <w:sz w:val="24"/>
          <w:szCs w:val="24"/>
        </w:rPr>
        <w:t xml:space="preserve">: Biocontrol agents (e.g., </w:t>
      </w:r>
      <w:proofErr w:type="spellStart"/>
      <w:r w:rsidRPr="009D7E41">
        <w:rPr>
          <w:rFonts w:ascii="Segoe UI" w:eastAsia="Times New Roman" w:hAnsi="Segoe UI" w:cs="Segoe UI"/>
          <w:color w:val="404040"/>
          <w:sz w:val="24"/>
          <w:szCs w:val="24"/>
        </w:rPr>
        <w:t>Aflasafe</w:t>
      </w:r>
      <w:proofErr w:type="spellEnd"/>
      <w:r w:rsidRPr="009D7E41">
        <w:rPr>
          <w:rFonts w:ascii="Segoe UI" w:eastAsia="Times New Roman" w:hAnsi="Segoe UI" w:cs="Segoe UI"/>
          <w:color w:val="404040"/>
          <w:sz w:val="24"/>
          <w:szCs w:val="24"/>
        </w:rPr>
        <w:t>™) and improved storage.</w:t>
      </w:r>
    </w:p>
    <w:p w:rsidR="009D7E41" w:rsidRPr="009D7E41" w:rsidRDefault="009D7E41" w:rsidP="009D7E41">
      <w:pPr>
        <w:numPr>
          <w:ilvl w:val="0"/>
          <w:numId w:val="8"/>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Public Health Measures</w:t>
      </w:r>
      <w:r w:rsidRPr="009D7E41">
        <w:rPr>
          <w:rFonts w:ascii="Segoe UI" w:eastAsia="Times New Roman" w:hAnsi="Segoe UI" w:cs="Segoe UI"/>
          <w:color w:val="404040"/>
          <w:sz w:val="24"/>
          <w:szCs w:val="24"/>
        </w:rPr>
        <w:t>: Routine monitoring, HBV vaccination, and dietary diversification.</w:t>
      </w:r>
    </w:p>
    <w:p w:rsidR="009D7E41" w:rsidRPr="009D7E41" w:rsidRDefault="009D7E41" w:rsidP="009D7E41">
      <w:pPr>
        <w:numPr>
          <w:ilvl w:val="0"/>
          <w:numId w:val="8"/>
        </w:numPr>
        <w:shd w:val="clear" w:color="auto" w:fill="FFFFFF"/>
        <w:spacing w:after="100" w:afterAutospacing="1" w:line="429" w:lineRule="atLeast"/>
        <w:ind w:left="0"/>
        <w:rPr>
          <w:rFonts w:ascii="Segoe UI" w:eastAsia="Times New Roman" w:hAnsi="Segoe UI" w:cs="Segoe UI"/>
          <w:color w:val="404040"/>
          <w:sz w:val="24"/>
          <w:szCs w:val="24"/>
        </w:rPr>
      </w:pPr>
      <w:r w:rsidRPr="009D7E41">
        <w:rPr>
          <w:rFonts w:ascii="Segoe UI" w:eastAsia="Times New Roman" w:hAnsi="Segoe UI" w:cs="Segoe UI"/>
          <w:b/>
          <w:bCs/>
          <w:color w:val="404040"/>
          <w:sz w:val="24"/>
          <w:szCs w:val="24"/>
        </w:rPr>
        <w:t>Global Cooperation</w:t>
      </w:r>
      <w:r w:rsidRPr="009D7E41">
        <w:rPr>
          <w:rFonts w:ascii="Segoe UI" w:eastAsia="Times New Roman" w:hAnsi="Segoe UI" w:cs="Segoe UI"/>
          <w:color w:val="404040"/>
          <w:sz w:val="24"/>
          <w:szCs w:val="24"/>
        </w:rPr>
        <w:t>: Strengthening Codex Alimentarius standards to reduce trade-related economic losses.</w:t>
      </w:r>
    </w:p>
    <w:p w:rsidR="009D7E41" w:rsidRDefault="009D7E41" w:rsidP="009D7E41">
      <w:pPr>
        <w:shd w:val="clear" w:color="auto" w:fill="FFFFFF"/>
        <w:spacing w:before="206" w:after="206" w:line="429" w:lineRule="atLeast"/>
        <w:rPr>
          <w:rFonts w:ascii="Segoe UI" w:eastAsia="Times New Roman" w:hAnsi="Segoe UI" w:cs="Segoe UI"/>
          <w:color w:val="404040"/>
          <w:sz w:val="24"/>
          <w:szCs w:val="24"/>
        </w:rPr>
      </w:pPr>
      <w:r w:rsidRPr="009D7E41">
        <w:rPr>
          <w:rFonts w:ascii="Segoe UI" w:eastAsia="Times New Roman" w:hAnsi="Segoe UI" w:cs="Segoe UI"/>
          <w:color w:val="404040"/>
          <w:sz w:val="24"/>
          <w:szCs w:val="24"/>
        </w:rPr>
        <w:t>Mitigating aflatoxin exposure is essential to achieving Sustainable Development Goals (SDGs) related to health, hunger, and economic growth. Without urgent action, aflatoxins will continue to perpetuate cycles of poverty and disease in vulnerable communities.</w:t>
      </w:r>
    </w:p>
    <w:p w:rsidR="009D7E41" w:rsidRDefault="009D7E41">
      <w:pPr>
        <w:rPr>
          <w:rStyle w:val="Strong"/>
          <w:rFonts w:ascii="Segoe UI" w:eastAsia="Times New Roman" w:hAnsi="Segoe UI" w:cs="Segoe UI"/>
          <w:color w:val="404040"/>
          <w:sz w:val="24"/>
          <w:szCs w:val="24"/>
        </w:rPr>
      </w:pPr>
      <w:r>
        <w:rPr>
          <w:rStyle w:val="Strong"/>
          <w:rFonts w:ascii="Segoe UI" w:hAnsi="Segoe UI" w:cs="Segoe UI"/>
          <w:color w:val="404040"/>
        </w:rPr>
        <w:br w:type="page"/>
      </w:r>
    </w:p>
    <w:p w:rsidR="009D7E41" w:rsidRDefault="009D7E41" w:rsidP="009D7E41">
      <w:pPr>
        <w:pStyle w:val="ds-markdown-paragraph"/>
        <w:shd w:val="clear" w:color="auto" w:fill="FFFFFF"/>
        <w:spacing w:before="206" w:beforeAutospacing="0" w:after="206" w:afterAutospacing="0" w:line="429" w:lineRule="atLeast"/>
        <w:rPr>
          <w:rFonts w:ascii="Segoe UI" w:hAnsi="Segoe UI" w:cs="Segoe UI"/>
          <w:color w:val="404040"/>
        </w:rPr>
      </w:pPr>
      <w:bookmarkStart w:id="0" w:name="_GoBack"/>
      <w:bookmarkEnd w:id="0"/>
      <w:r>
        <w:rPr>
          <w:rStyle w:val="Strong"/>
          <w:rFonts w:ascii="Segoe UI" w:hAnsi="Segoe UI" w:cs="Segoe UI"/>
          <w:color w:val="404040"/>
        </w:rPr>
        <w:lastRenderedPageBreak/>
        <w:t>References</w:t>
      </w:r>
    </w:p>
    <w:p w:rsidR="009D7E41" w:rsidRDefault="009D7E41" w:rsidP="009D7E41">
      <w:pPr>
        <w:pStyle w:val="ds-markdown-paragraph"/>
        <w:numPr>
          <w:ilvl w:val="0"/>
          <w:numId w:val="9"/>
        </w:numPr>
        <w:shd w:val="clear" w:color="auto" w:fill="FFFFFF"/>
        <w:spacing w:before="0" w:beforeAutospacing="0" w:line="429" w:lineRule="atLeast"/>
        <w:ind w:left="0"/>
        <w:rPr>
          <w:rFonts w:ascii="Segoe UI" w:hAnsi="Segoe UI" w:cs="Segoe UI"/>
          <w:color w:val="404040"/>
        </w:rPr>
      </w:pPr>
      <w:r>
        <w:rPr>
          <w:rFonts w:ascii="Segoe UI" w:hAnsi="Segoe UI" w:cs="Segoe UI"/>
          <w:color w:val="404040"/>
        </w:rPr>
        <w:t>International Agency for Research on Cancer (IARC). (2012). </w:t>
      </w:r>
      <w:r>
        <w:rPr>
          <w:rStyle w:val="Emphasis"/>
          <w:rFonts w:ascii="Segoe UI" w:hAnsi="Segoe UI" w:cs="Segoe UI"/>
          <w:color w:val="404040"/>
        </w:rPr>
        <w:t>Aflatoxins</w:t>
      </w:r>
      <w:r>
        <w:rPr>
          <w:rFonts w:ascii="Segoe UI" w:hAnsi="Segoe UI" w:cs="Segoe UI"/>
          <w:color w:val="404040"/>
        </w:rPr>
        <w:t>.</w:t>
      </w:r>
    </w:p>
    <w:p w:rsidR="009D7E41" w:rsidRDefault="009D7E41" w:rsidP="009D7E41">
      <w:pPr>
        <w:pStyle w:val="ds-markdown-paragraph"/>
        <w:numPr>
          <w:ilvl w:val="0"/>
          <w:numId w:val="9"/>
        </w:numPr>
        <w:shd w:val="clear" w:color="auto" w:fill="FFFFFF"/>
        <w:spacing w:before="0" w:beforeAutospacing="0" w:line="429" w:lineRule="atLeast"/>
        <w:ind w:left="0"/>
        <w:rPr>
          <w:rFonts w:ascii="Segoe UI" w:hAnsi="Segoe UI" w:cs="Segoe UI"/>
          <w:color w:val="404040"/>
        </w:rPr>
      </w:pPr>
      <w:r>
        <w:rPr>
          <w:rFonts w:ascii="Segoe UI" w:hAnsi="Segoe UI" w:cs="Segoe UI"/>
          <w:color w:val="404040"/>
        </w:rPr>
        <w:t>Wild, C. P., &amp; Gong, Y. Y. (2010). </w:t>
      </w:r>
      <w:r>
        <w:rPr>
          <w:rStyle w:val="Emphasis"/>
          <w:rFonts w:ascii="Segoe UI" w:hAnsi="Segoe UI" w:cs="Segoe UI"/>
          <w:color w:val="404040"/>
        </w:rPr>
        <w:t>Mycotoxins and human disease: A largely ignored global health issue</w:t>
      </w:r>
      <w:r>
        <w:rPr>
          <w:rFonts w:ascii="Segoe UI" w:hAnsi="Segoe UI" w:cs="Segoe UI"/>
          <w:color w:val="404040"/>
        </w:rPr>
        <w:t>.</w:t>
      </w:r>
    </w:p>
    <w:p w:rsidR="009D7E41" w:rsidRDefault="009D7E41" w:rsidP="009D7E41">
      <w:pPr>
        <w:pStyle w:val="ds-markdown-paragraph"/>
        <w:numPr>
          <w:ilvl w:val="0"/>
          <w:numId w:val="9"/>
        </w:numPr>
        <w:shd w:val="clear" w:color="auto" w:fill="FFFFFF"/>
        <w:spacing w:before="0" w:beforeAutospacing="0" w:line="429" w:lineRule="atLeast"/>
        <w:ind w:left="0"/>
        <w:rPr>
          <w:rFonts w:ascii="Segoe UI" w:hAnsi="Segoe UI" w:cs="Segoe UI"/>
          <w:color w:val="404040"/>
        </w:rPr>
      </w:pPr>
      <w:r>
        <w:rPr>
          <w:rFonts w:ascii="Segoe UI" w:hAnsi="Segoe UI" w:cs="Segoe UI"/>
          <w:color w:val="404040"/>
        </w:rPr>
        <w:t>Turner, P. C., et al. (2007). </w:t>
      </w:r>
      <w:r>
        <w:rPr>
          <w:rStyle w:val="Emphasis"/>
          <w:rFonts w:ascii="Segoe UI" w:hAnsi="Segoe UI" w:cs="Segoe UI"/>
          <w:color w:val="404040"/>
        </w:rPr>
        <w:t>Aflatoxin exposure in utero causes growth faltering in Gambian infants</w:t>
      </w:r>
      <w:r>
        <w:rPr>
          <w:rFonts w:ascii="Segoe UI" w:hAnsi="Segoe UI" w:cs="Segoe UI"/>
          <w:color w:val="404040"/>
        </w:rPr>
        <w:t>.</w:t>
      </w:r>
    </w:p>
    <w:p w:rsidR="009D7E41" w:rsidRPr="009D7E41" w:rsidRDefault="009D7E41" w:rsidP="009D7E41">
      <w:pPr>
        <w:shd w:val="clear" w:color="auto" w:fill="FFFFFF"/>
        <w:spacing w:before="206" w:after="206" w:line="429" w:lineRule="atLeast"/>
        <w:rPr>
          <w:rFonts w:ascii="Segoe UI" w:eastAsia="Times New Roman" w:hAnsi="Segoe UI" w:cs="Segoe UI"/>
          <w:color w:val="404040"/>
          <w:sz w:val="24"/>
          <w:szCs w:val="24"/>
        </w:rPr>
      </w:pPr>
    </w:p>
    <w:p w:rsidR="00F11DA5" w:rsidRDefault="00F11DA5"/>
    <w:sectPr w:rsidR="00F11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5CC"/>
    <w:multiLevelType w:val="multilevel"/>
    <w:tmpl w:val="E80C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2ED6"/>
    <w:multiLevelType w:val="multilevel"/>
    <w:tmpl w:val="1D42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D2091"/>
    <w:multiLevelType w:val="multilevel"/>
    <w:tmpl w:val="3DC8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E08F5"/>
    <w:multiLevelType w:val="multilevel"/>
    <w:tmpl w:val="C252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211A8"/>
    <w:multiLevelType w:val="multilevel"/>
    <w:tmpl w:val="227E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05E4C"/>
    <w:multiLevelType w:val="multilevel"/>
    <w:tmpl w:val="CE0E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44F8B"/>
    <w:multiLevelType w:val="multilevel"/>
    <w:tmpl w:val="A52E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8619C"/>
    <w:multiLevelType w:val="multilevel"/>
    <w:tmpl w:val="BBFC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9203D0"/>
    <w:multiLevelType w:val="multilevel"/>
    <w:tmpl w:val="D2AC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0"/>
  </w:num>
  <w:num w:numId="5">
    <w:abstractNumId w:val="6"/>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41"/>
    <w:rsid w:val="009D7E41"/>
    <w:rsid w:val="00F1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E522"/>
  <w15:chartTrackingRefBased/>
  <w15:docId w15:val="{09DEA72C-E588-47A0-BACB-EB493C03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D7E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D7E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7E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D7E41"/>
    <w:rPr>
      <w:rFonts w:ascii="Times New Roman" w:eastAsia="Times New Roman" w:hAnsi="Times New Roman" w:cs="Times New Roman"/>
      <w:b/>
      <w:bCs/>
      <w:sz w:val="24"/>
      <w:szCs w:val="24"/>
    </w:rPr>
  </w:style>
  <w:style w:type="paragraph" w:customStyle="1" w:styleId="ds-markdown-paragraph">
    <w:name w:val="ds-markdown-paragraph"/>
    <w:basedOn w:val="Normal"/>
    <w:rsid w:val="009D7E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7E41"/>
    <w:rPr>
      <w:b/>
      <w:bCs/>
    </w:rPr>
  </w:style>
  <w:style w:type="character" w:styleId="Emphasis">
    <w:name w:val="Emphasis"/>
    <w:basedOn w:val="DefaultParagraphFont"/>
    <w:uiPriority w:val="20"/>
    <w:qFormat/>
    <w:rsid w:val="009D7E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958172">
      <w:bodyDiv w:val="1"/>
      <w:marLeft w:val="0"/>
      <w:marRight w:val="0"/>
      <w:marTop w:val="0"/>
      <w:marBottom w:val="0"/>
      <w:divBdr>
        <w:top w:val="none" w:sz="0" w:space="0" w:color="auto"/>
        <w:left w:val="none" w:sz="0" w:space="0" w:color="auto"/>
        <w:bottom w:val="none" w:sz="0" w:space="0" w:color="auto"/>
        <w:right w:val="none" w:sz="0" w:space="0" w:color="auto"/>
      </w:divBdr>
    </w:div>
    <w:div w:id="95001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cp:revision>
  <dcterms:created xsi:type="dcterms:W3CDTF">2025-05-02T16:50:00Z</dcterms:created>
  <dcterms:modified xsi:type="dcterms:W3CDTF">2025-05-02T16:55:00Z</dcterms:modified>
</cp:coreProperties>
</file>