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074DC" w14:textId="77777777" w:rsidR="0025774C" w:rsidRPr="0025774C" w:rsidRDefault="0025774C" w:rsidP="0025774C"/>
    <w:p w14:paraId="0E6FC01E" w14:textId="77777777" w:rsidR="0025774C" w:rsidRPr="0025774C" w:rsidRDefault="0025774C" w:rsidP="0025774C">
      <w:pPr>
        <w:rPr>
          <w:b/>
        </w:rPr>
      </w:pPr>
    </w:p>
    <w:p w14:paraId="7029E81B" w14:textId="77777777" w:rsidR="0025774C" w:rsidRPr="0025774C" w:rsidRDefault="0025774C" w:rsidP="0025774C">
      <w:pPr>
        <w:jc w:val="center"/>
        <w:rPr>
          <w:b/>
        </w:rPr>
      </w:pPr>
    </w:p>
    <w:p w14:paraId="499A8E8F" w14:textId="77777777" w:rsidR="00511F68" w:rsidRDefault="00511F68" w:rsidP="00073154">
      <w:pPr>
        <w:spacing w:line="480" w:lineRule="auto"/>
        <w:jc w:val="center"/>
        <w:rPr>
          <w:b/>
          <w:bCs/>
        </w:rPr>
      </w:pPr>
    </w:p>
    <w:p w14:paraId="6252F755" w14:textId="77777777" w:rsidR="00511F68" w:rsidRDefault="00511F68" w:rsidP="00073154">
      <w:pPr>
        <w:spacing w:line="480" w:lineRule="auto"/>
        <w:jc w:val="center"/>
        <w:rPr>
          <w:b/>
          <w:bCs/>
        </w:rPr>
      </w:pPr>
    </w:p>
    <w:p w14:paraId="09743781" w14:textId="495BD04D" w:rsidR="00073154" w:rsidRPr="00073154" w:rsidRDefault="00073154" w:rsidP="00073154">
      <w:pPr>
        <w:spacing w:line="480" w:lineRule="auto"/>
        <w:jc w:val="center"/>
        <w:rPr>
          <w:b/>
          <w:bCs/>
        </w:rPr>
      </w:pPr>
      <w:r w:rsidRPr="00073154">
        <w:rPr>
          <w:b/>
          <w:bCs/>
        </w:rPr>
        <w:t>Adverse Health Effects Associated with Aflatoxin Hazard</w:t>
      </w:r>
    </w:p>
    <w:p w14:paraId="10A60F4E" w14:textId="77777777" w:rsidR="0025774C" w:rsidRPr="0025774C" w:rsidRDefault="0025774C" w:rsidP="00D722B6">
      <w:pPr>
        <w:rPr>
          <w:b/>
        </w:rPr>
      </w:pPr>
    </w:p>
    <w:p w14:paraId="788DEA14" w14:textId="5202D568" w:rsidR="00D722B6" w:rsidRDefault="0025774C" w:rsidP="00D722B6">
      <w:pPr>
        <w:jc w:val="center"/>
      </w:pPr>
      <w:r w:rsidRPr="0025774C">
        <w:t>Student’s Name</w:t>
      </w:r>
    </w:p>
    <w:p w14:paraId="0011D1F0" w14:textId="77777777" w:rsidR="00511F68" w:rsidRDefault="00511F68" w:rsidP="00D722B6">
      <w:pPr>
        <w:jc w:val="center"/>
      </w:pPr>
    </w:p>
    <w:p w14:paraId="587FB042" w14:textId="77777777" w:rsidR="00511F68" w:rsidRPr="0025774C" w:rsidRDefault="00511F68" w:rsidP="00D722B6">
      <w:pPr>
        <w:jc w:val="center"/>
      </w:pPr>
    </w:p>
    <w:p w14:paraId="510880CA" w14:textId="7759FB19" w:rsidR="0025774C" w:rsidRDefault="0025774C" w:rsidP="00D722B6">
      <w:pPr>
        <w:jc w:val="center"/>
      </w:pPr>
      <w:r w:rsidRPr="0025774C">
        <w:t>Institution</w:t>
      </w:r>
    </w:p>
    <w:p w14:paraId="66995AF9" w14:textId="77777777" w:rsidR="00511F68" w:rsidRPr="0025774C" w:rsidRDefault="00511F68" w:rsidP="00D722B6">
      <w:pPr>
        <w:jc w:val="center"/>
      </w:pPr>
    </w:p>
    <w:p w14:paraId="4A6E7260" w14:textId="51C1E334" w:rsidR="0025774C" w:rsidRDefault="0025774C" w:rsidP="00D722B6">
      <w:pPr>
        <w:jc w:val="center"/>
      </w:pPr>
      <w:r w:rsidRPr="0025774C">
        <w:t>Course</w:t>
      </w:r>
    </w:p>
    <w:p w14:paraId="5ABD5D66" w14:textId="77777777" w:rsidR="00511F68" w:rsidRPr="0025774C" w:rsidRDefault="00511F68" w:rsidP="00D722B6">
      <w:pPr>
        <w:jc w:val="center"/>
      </w:pPr>
    </w:p>
    <w:p w14:paraId="2C352777" w14:textId="1636155D" w:rsidR="0025774C" w:rsidRDefault="0025774C" w:rsidP="00D722B6">
      <w:pPr>
        <w:jc w:val="center"/>
      </w:pPr>
      <w:r w:rsidRPr="0025774C">
        <w:t>Professor’s Name</w:t>
      </w:r>
    </w:p>
    <w:p w14:paraId="15314F2C" w14:textId="77777777" w:rsidR="00511F68" w:rsidRPr="0025774C" w:rsidRDefault="00511F68" w:rsidP="00D722B6">
      <w:pPr>
        <w:jc w:val="center"/>
      </w:pPr>
    </w:p>
    <w:p w14:paraId="0E37CC70" w14:textId="77777777" w:rsidR="0025774C" w:rsidRPr="0025774C" w:rsidRDefault="0025774C" w:rsidP="00D722B6">
      <w:pPr>
        <w:spacing w:line="480" w:lineRule="auto"/>
        <w:jc w:val="center"/>
      </w:pPr>
      <w:r w:rsidRPr="0025774C">
        <w:t>Date</w:t>
      </w:r>
    </w:p>
    <w:p w14:paraId="0DAA8DC0" w14:textId="77777777" w:rsidR="0025774C" w:rsidRPr="0025774C" w:rsidRDefault="0025774C" w:rsidP="00D722B6">
      <w:pPr>
        <w:spacing w:line="480" w:lineRule="auto"/>
        <w:jc w:val="center"/>
      </w:pPr>
    </w:p>
    <w:p w14:paraId="630CC6E7" w14:textId="77777777" w:rsidR="0025774C" w:rsidRPr="0025774C" w:rsidRDefault="0025774C" w:rsidP="00D722B6">
      <w:pPr>
        <w:spacing w:line="480" w:lineRule="auto"/>
        <w:jc w:val="center"/>
      </w:pPr>
    </w:p>
    <w:p w14:paraId="7C37890B" w14:textId="77777777" w:rsidR="0025774C" w:rsidRPr="0025774C" w:rsidRDefault="0025774C" w:rsidP="00D722B6">
      <w:pPr>
        <w:spacing w:line="480" w:lineRule="auto"/>
        <w:jc w:val="center"/>
      </w:pPr>
    </w:p>
    <w:p w14:paraId="7991783C" w14:textId="77777777" w:rsidR="0025774C" w:rsidRPr="0025774C" w:rsidRDefault="0025774C" w:rsidP="00D722B6">
      <w:pPr>
        <w:spacing w:line="480" w:lineRule="auto"/>
        <w:jc w:val="center"/>
      </w:pPr>
    </w:p>
    <w:p w14:paraId="5E9D4470" w14:textId="77777777" w:rsidR="001D3D45" w:rsidRDefault="001D3D45" w:rsidP="001D3D45">
      <w:pPr>
        <w:spacing w:line="480" w:lineRule="auto"/>
      </w:pPr>
    </w:p>
    <w:p w14:paraId="008A5213" w14:textId="77777777" w:rsidR="001D3D45" w:rsidRDefault="001D3D45" w:rsidP="001D3D45">
      <w:pPr>
        <w:spacing w:line="480" w:lineRule="auto"/>
      </w:pPr>
    </w:p>
    <w:p w14:paraId="6A15A64A" w14:textId="58B640D5" w:rsidR="007E5986" w:rsidRDefault="007E5986" w:rsidP="00511F68">
      <w:pPr>
        <w:spacing w:line="480" w:lineRule="auto"/>
        <w:jc w:val="center"/>
      </w:pPr>
      <w:r w:rsidRPr="00073154">
        <w:rPr>
          <w:b/>
          <w:bCs/>
        </w:rPr>
        <w:lastRenderedPageBreak/>
        <w:t xml:space="preserve">Adverse Health Effects </w:t>
      </w:r>
      <w:r w:rsidR="00073154" w:rsidRPr="00073154">
        <w:rPr>
          <w:b/>
          <w:bCs/>
        </w:rPr>
        <w:t>Associated with Aflatoxin Hazard</w:t>
      </w:r>
    </w:p>
    <w:p w14:paraId="21AEC961" w14:textId="27622037" w:rsidR="007E5986" w:rsidRPr="001D3D45" w:rsidRDefault="00204118" w:rsidP="00D722B6">
      <w:pPr>
        <w:spacing w:line="480" w:lineRule="auto"/>
        <w:rPr>
          <w:b/>
          <w:bCs/>
        </w:rPr>
      </w:pPr>
      <w:r>
        <w:rPr>
          <w:b/>
          <w:bCs/>
        </w:rPr>
        <w:t>Introduction</w:t>
      </w:r>
    </w:p>
    <w:p w14:paraId="7EEEAE0E" w14:textId="573F9D12" w:rsidR="0041492D" w:rsidRDefault="0041492D" w:rsidP="0041492D">
      <w:pPr>
        <w:spacing w:line="480" w:lineRule="auto"/>
        <w:ind w:firstLine="720"/>
      </w:pPr>
      <w:r w:rsidRPr="0041492D">
        <w:t>Aflatoxins</w:t>
      </w:r>
      <w:r w:rsidR="006A15CC">
        <w:t>,</w:t>
      </w:r>
      <w:r w:rsidRPr="0041492D">
        <w:t xml:space="preserve"> mainly produced by molds such as Aspergillus flavus and Aspergillus parasiticus</w:t>
      </w:r>
      <w:r w:rsidR="006A15CC">
        <w:t>,</w:t>
      </w:r>
      <w:r w:rsidRPr="0041492D">
        <w:t xml:space="preserve"> are some dangerous toxins that are found in grains, nuts, spices, </w:t>
      </w:r>
      <w:r w:rsidR="00B4747F">
        <w:t xml:space="preserve">and </w:t>
      </w:r>
      <w:r w:rsidRPr="0041492D">
        <w:t>edible legumes</w:t>
      </w:r>
      <w:r w:rsidR="00B4747F">
        <w:t>,</w:t>
      </w:r>
      <w:r w:rsidRPr="0041492D">
        <w:t xml:space="preserve"> especially in warm, humid countries. Eating foods </w:t>
      </w:r>
      <w:r w:rsidR="00B4747F">
        <w:t>that</w:t>
      </w:r>
      <w:r w:rsidRPr="0041492D">
        <w:t xml:space="preserve"> contain aflatoxin can lead to </w:t>
      </w:r>
      <w:r w:rsidR="00B4747F">
        <w:t xml:space="preserve">the </w:t>
      </w:r>
      <w:r w:rsidRPr="0041492D">
        <w:t>occurrence of acute toxicity, carcinogenicity, suppression of immunity</w:t>
      </w:r>
      <w:r w:rsidR="00B4747F">
        <w:t>,</w:t>
      </w:r>
      <w:r w:rsidRPr="0041492D">
        <w:t xml:space="preserve"> and developmental growth inhibition in both humans and animals alike. This article attempts to highlight the ill effects of aflatoxin on health and </w:t>
      </w:r>
      <w:r w:rsidR="00B4747F">
        <w:t>suggests</w:t>
      </w:r>
      <w:r w:rsidRPr="0041492D">
        <w:t xml:space="preserve"> probable ways to combat this threat; one of the key priorities is to pay closer attention to aflatoxin control measures to ensure public safety against these detrimental mycotoxins.</w:t>
      </w:r>
    </w:p>
    <w:p w14:paraId="36340AEC" w14:textId="313DC3E8" w:rsidR="007E5986" w:rsidRPr="00D722B6" w:rsidRDefault="007E5986" w:rsidP="001D3D45">
      <w:pPr>
        <w:spacing w:line="480" w:lineRule="auto"/>
        <w:ind w:firstLine="720"/>
        <w:jc w:val="center"/>
      </w:pPr>
      <w:r w:rsidRPr="0025774C">
        <w:rPr>
          <w:b/>
          <w:bCs/>
        </w:rPr>
        <w:t>Adverse Health Effects of Aflatoxin Exposure</w:t>
      </w:r>
      <w:r w:rsidR="001D3D45">
        <w:rPr>
          <w:b/>
          <w:bCs/>
        </w:rPr>
        <w:t>.</w:t>
      </w:r>
    </w:p>
    <w:p w14:paraId="51B9E5C4" w14:textId="02D525D9" w:rsidR="001D3D45" w:rsidRDefault="00204118" w:rsidP="001D3D45">
      <w:pPr>
        <w:spacing w:line="480" w:lineRule="auto"/>
      </w:pPr>
      <w:r>
        <w:rPr>
          <w:b/>
          <w:bCs/>
        </w:rPr>
        <w:t>Acute Toxicity</w:t>
      </w:r>
    </w:p>
    <w:p w14:paraId="600B73B5" w14:textId="0E402213" w:rsidR="0041492D" w:rsidRDefault="0041492D" w:rsidP="000732D8">
      <w:pPr>
        <w:spacing w:line="480" w:lineRule="auto"/>
        <w:ind w:firstLine="720"/>
      </w:pPr>
      <w:r w:rsidRPr="0041492D">
        <w:t xml:space="preserve">Aflatoxin exposure can induce acute toxicity, especially with the ingestion of highly contaminated food within a brief timeframe. Acute aflatoxicosis is characterized by symptoms including nausea, vomiting, abdominal pain, and, in severe instances, liver failure leading to fatality. Documented outbreaks of acute aflatoxicosis across the globe underscore the imminent health peril associated with aflatoxin contamination, particularly in areas where access to uncontaminated food is constrained (Benkerroum  2020). </w:t>
      </w:r>
      <w:r w:rsidR="000732D8">
        <w:t xml:space="preserve">These incidents highlight </w:t>
      </w:r>
      <w:r w:rsidR="00B4747F">
        <w:t xml:space="preserve">the </w:t>
      </w:r>
      <w:r w:rsidR="000732D8">
        <w:t xml:space="preserve">importance of food safety implementation with </w:t>
      </w:r>
      <w:r w:rsidR="00B4747F">
        <w:t xml:space="preserve">a </w:t>
      </w:r>
      <w:r w:rsidR="000732D8">
        <w:t xml:space="preserve">major focus on </w:t>
      </w:r>
      <w:r w:rsidR="00B4747F">
        <w:t xml:space="preserve">the </w:t>
      </w:r>
      <w:r w:rsidR="000732D8">
        <w:t>reduction of aflatoxin exposure concentrated in vulnerable populations.</w:t>
      </w:r>
    </w:p>
    <w:p w14:paraId="794FF7F3" w14:textId="78BB318E" w:rsidR="007E5986" w:rsidRDefault="00204118" w:rsidP="00D722B6">
      <w:pPr>
        <w:spacing w:line="480" w:lineRule="auto"/>
      </w:pPr>
      <w:r>
        <w:rPr>
          <w:b/>
          <w:bCs/>
        </w:rPr>
        <w:t>Carcinogenicity</w:t>
      </w:r>
    </w:p>
    <w:p w14:paraId="6205463F" w14:textId="568697CA" w:rsidR="0041492D" w:rsidRDefault="002A05B4" w:rsidP="002A05B4">
      <w:pPr>
        <w:spacing w:line="480" w:lineRule="auto"/>
        <w:ind w:firstLine="720"/>
      </w:pPr>
      <w:r w:rsidRPr="002A05B4">
        <w:lastRenderedPageBreak/>
        <w:t>The main problem with consuming aflatoxin is that it is a potent carcinogen. </w:t>
      </w:r>
      <w:r w:rsidR="00960753" w:rsidRPr="00960753">
        <w:t>IARC classifies aflatoxins as Group 1 carcinogens because it has been associated with cancer in humans. These toxins</w:t>
      </w:r>
      <w:r w:rsidR="00960753">
        <w:t>’</w:t>
      </w:r>
      <w:r w:rsidR="00960753" w:rsidRPr="00960753">
        <w:t xml:space="preserve"> prolonged exposure is associated with higher risks of HCC later on, the most common type of liver cancer. Regions that experience high levels of aflatoxin contamination, as a rule,</w:t>
      </w:r>
      <w:r w:rsidR="00960753">
        <w:t xml:space="preserve"> have a high liver cancer rate, indicating</w:t>
      </w:r>
      <w:r w:rsidR="00960753" w:rsidRPr="00960753">
        <w:t xml:space="preserve"> the carcinogenic role of aflatoxin exposure (Benkerroum 2020). This emphasizes the need </w:t>
      </w:r>
      <w:r w:rsidR="00960753">
        <w:t>to impose</w:t>
      </w:r>
      <w:r w:rsidR="00960753" w:rsidRPr="00960753">
        <w:t xml:space="preserve"> strict regulations for the management of aflatoxin contamination</w:t>
      </w:r>
      <w:r w:rsidR="00960753">
        <w:t>,</w:t>
      </w:r>
      <w:r w:rsidR="00960753" w:rsidRPr="00960753">
        <w:t xml:space="preserve"> considering the ensuing cancer risk.</w:t>
      </w:r>
    </w:p>
    <w:p w14:paraId="14998734" w14:textId="431872BF" w:rsidR="007E5986" w:rsidRDefault="00204118" w:rsidP="00D722B6">
      <w:pPr>
        <w:spacing w:line="480" w:lineRule="auto"/>
      </w:pPr>
      <w:r>
        <w:rPr>
          <w:b/>
          <w:bCs/>
        </w:rPr>
        <w:t>Immunomodulation</w:t>
      </w:r>
    </w:p>
    <w:p w14:paraId="1D38BEB9" w14:textId="080CB6F9" w:rsidR="0041492D" w:rsidRDefault="00960753" w:rsidP="0041492D">
      <w:pPr>
        <w:spacing w:line="480" w:lineRule="auto"/>
        <w:ind w:firstLine="720"/>
      </w:pPr>
      <w:r w:rsidRPr="00960753">
        <w:t xml:space="preserve">Aflatoxins can damage the immune system to the extent of immunosuppression, hence increasing the risk of infections. Over the long run, these toxins can block the function of essential immune cells, such as lymphocytes and macrophages, which results in a decrease in the body’s ability to make a correct response to pathogens. </w:t>
      </w:r>
      <w:r w:rsidR="0041492D" w:rsidRPr="0041492D">
        <w:t xml:space="preserve">This immunomodulatory effect </w:t>
      </w:r>
      <w:r w:rsidR="00B4747F">
        <w:t>augments</w:t>
      </w:r>
      <w:r w:rsidR="0041492D" w:rsidRPr="0041492D">
        <w:t xml:space="preserve"> the health risk faced by individuals who are exposed to aflatoxins</w:t>
      </w:r>
      <w:r w:rsidR="006A15CC">
        <w:t>,</w:t>
      </w:r>
      <w:r w:rsidR="0041492D" w:rsidRPr="0041492D">
        <w:t xml:space="preserve"> as the individuals are likely to experience more severe health outcomes as a result of comorbidities and coinfection due to a compromised immune system (Benkerroum  2020). Therefore, eliminating the aflatoxin contamination is a necessity to avoid the associated human health risks.</w:t>
      </w:r>
    </w:p>
    <w:p w14:paraId="18C78579" w14:textId="38919E65" w:rsidR="007E5986" w:rsidRDefault="00204118" w:rsidP="00D722B6">
      <w:pPr>
        <w:spacing w:line="480" w:lineRule="auto"/>
      </w:pPr>
      <w:r>
        <w:rPr>
          <w:b/>
          <w:bCs/>
        </w:rPr>
        <w:t>Growth Impairment</w:t>
      </w:r>
    </w:p>
    <w:p w14:paraId="5CCBD205" w14:textId="7841CCDE" w:rsidR="0041492D" w:rsidRDefault="0041492D" w:rsidP="0041492D">
      <w:pPr>
        <w:spacing w:line="480" w:lineRule="auto"/>
        <w:ind w:firstLine="720"/>
      </w:pPr>
      <w:r w:rsidRPr="0041492D">
        <w:t xml:space="preserve">Children are most susceptible to the adverse effects of aflatoxin, something which often </w:t>
      </w:r>
      <w:r w:rsidR="00B4747F">
        <w:t>leads</w:t>
      </w:r>
      <w:r w:rsidRPr="0041492D">
        <w:t xml:space="preserve"> to growth impairment. Consuming </w:t>
      </w:r>
      <w:r w:rsidR="00B4747F">
        <w:t xml:space="preserve">an </w:t>
      </w:r>
      <w:r w:rsidRPr="0041492D">
        <w:t xml:space="preserve">aflatoxin-rich diet </w:t>
      </w:r>
      <w:r w:rsidR="00B4747F">
        <w:t>regularly</w:t>
      </w:r>
      <w:r w:rsidRPr="0041492D">
        <w:t xml:space="preserve"> messes up the absorption and utilization of nutrients, which can negatively affect normal growth and development. </w:t>
      </w:r>
      <w:r w:rsidR="006A15CC" w:rsidRPr="006A15CC">
        <w:t xml:space="preserve">Aflatoxins are endocrine interference molecules </w:t>
      </w:r>
      <w:r w:rsidR="006A15CC">
        <w:t>that</w:t>
      </w:r>
      <w:r w:rsidR="006A15CC" w:rsidRPr="006A15CC">
        <w:t xml:space="preserve"> affect the hormonal machinery and metabolic governing processes that are important for body organ growth with </w:t>
      </w:r>
      <w:r w:rsidR="006A15CC" w:rsidRPr="006A15CC">
        <w:lastRenderedPageBreak/>
        <w:t>long-term effects like stunting and cognitive impairments (Betkerroum 2020). The latent epigenetic effects of aflatoxin-led growth impairment, which extend beyond the physical health of an individual to the educational achievement and living standards of that society, call for the immediate adoption of proper preventive measures to minimize the current exposure to further contamination.</w:t>
      </w:r>
    </w:p>
    <w:p w14:paraId="677DCA83" w14:textId="5DDC143C" w:rsidR="00D722B6" w:rsidRDefault="00D722B6" w:rsidP="00204118">
      <w:pPr>
        <w:spacing w:line="480" w:lineRule="auto"/>
        <w:jc w:val="center"/>
        <w:rPr>
          <w:b/>
          <w:bCs/>
        </w:rPr>
      </w:pPr>
      <w:r w:rsidRPr="00D722B6">
        <w:rPr>
          <w:b/>
          <w:bCs/>
        </w:rPr>
        <w:t>Societal Impacts of Aflatoxin Contamination</w:t>
      </w:r>
    </w:p>
    <w:p w14:paraId="59343F52" w14:textId="3EE3BEE4" w:rsidR="00C33149" w:rsidRPr="0025774C" w:rsidRDefault="00C33149" w:rsidP="00204118">
      <w:pPr>
        <w:spacing w:line="480" w:lineRule="auto"/>
        <w:rPr>
          <w:b/>
          <w:bCs/>
        </w:rPr>
      </w:pPr>
      <w:r w:rsidRPr="0025774C">
        <w:rPr>
          <w:b/>
          <w:bCs/>
        </w:rPr>
        <w:t>Strain on food security</w:t>
      </w:r>
    </w:p>
    <w:p w14:paraId="172F9523" w14:textId="2BF27FCF" w:rsidR="0041492D" w:rsidRDefault="0041492D" w:rsidP="0041492D">
      <w:pPr>
        <w:spacing w:line="480" w:lineRule="auto"/>
        <w:ind w:firstLine="720"/>
      </w:pPr>
      <w:r w:rsidRPr="0041492D">
        <w:t>Aflatoxin contamination leads to a big deal with food security because it makes the food supplies doubtful and unsafe. The c</w:t>
      </w:r>
      <w:r w:rsidR="006A15CC">
        <w:t>ontaminated crops</w:t>
      </w:r>
      <w:r w:rsidRPr="0041492D">
        <w:t xml:space="preserve"> frequently have to be either destroyed or quarantined </w:t>
      </w:r>
      <w:r w:rsidR="00B4747F">
        <w:t>to</w:t>
      </w:r>
      <w:r w:rsidRPr="0041492D">
        <w:t xml:space="preserve"> prevent consumption by humans, which ends up </w:t>
      </w:r>
      <w:r w:rsidR="00B4747F">
        <w:t>disrupting</w:t>
      </w:r>
      <w:r w:rsidRPr="0041492D">
        <w:t xml:space="preserve"> </w:t>
      </w:r>
      <w:r w:rsidR="006A15CC">
        <w:t>the</w:t>
      </w:r>
      <w:r w:rsidRPr="0041492D">
        <w:t xml:space="preserve"> food supply and further </w:t>
      </w:r>
      <w:r w:rsidR="00B4747F">
        <w:t>exacerbates</w:t>
      </w:r>
      <w:r w:rsidRPr="0041492D">
        <w:t xml:space="preserve"> food insecurity</w:t>
      </w:r>
      <w:r w:rsidR="00B4747F">
        <w:t>,</w:t>
      </w:r>
      <w:r w:rsidRPr="0041492D">
        <w:t xml:space="preserve"> especially in vulnerable communities (Benkerroum 2020). </w:t>
      </w:r>
      <w:r w:rsidR="00960753" w:rsidRPr="00960753">
        <w:t xml:space="preserve">The limits of food security are defined here by this pressure, and this makes mitigation strategies, which are aimed at eliminating aflatoxin, an important issue and one that guarantees food safety and food sufficiency </w:t>
      </w:r>
      <w:r w:rsidR="00960753">
        <w:t>for</w:t>
      </w:r>
      <w:r w:rsidR="00960753" w:rsidRPr="00960753">
        <w:t xml:space="preserve"> the whole population.</w:t>
      </w:r>
    </w:p>
    <w:p w14:paraId="2082DDD6" w14:textId="52A41915" w:rsidR="0025774C" w:rsidRPr="00511F68" w:rsidRDefault="0025774C" w:rsidP="00204118">
      <w:pPr>
        <w:spacing w:line="480" w:lineRule="auto"/>
        <w:rPr>
          <w:b/>
          <w:bCs/>
        </w:rPr>
      </w:pPr>
      <w:r w:rsidRPr="00511F68">
        <w:rPr>
          <w:b/>
          <w:bCs/>
        </w:rPr>
        <w:t>Healthcare costs and productivity losses</w:t>
      </w:r>
    </w:p>
    <w:p w14:paraId="0F36B3C6" w14:textId="05899AC4" w:rsidR="0041492D" w:rsidRDefault="00960753" w:rsidP="00960753">
      <w:pPr>
        <w:spacing w:line="480" w:lineRule="auto"/>
        <w:ind w:firstLine="720"/>
      </w:pPr>
      <w:r w:rsidRPr="00960753">
        <w:t>The economic implications of aflatoxin contamination have notable economic outcomes, including the increase in the costs for healthcare to treat related illnesses and the absenteeism caused by the diseases</w:t>
      </w:r>
      <w:r>
        <w:t>,</w:t>
      </w:r>
      <w:r w:rsidRPr="00960753">
        <w:t xml:space="preserve"> which lead to reduced productivity. </w:t>
      </w:r>
      <w:r>
        <w:t xml:space="preserve">With overwhelmed </w:t>
      </w:r>
      <w:bookmarkStart w:id="0" w:name="_GoBack"/>
      <w:bookmarkEnd w:id="0"/>
      <w:r>
        <w:t>healthcare systems, reduced economic output, and deterioration of livelihoods, the problems become more complex and deepen, making the socio-economic problems</w:t>
      </w:r>
      <w:r w:rsidRPr="00960753">
        <w:t xml:space="preserve"> worse (Meijer et al. 2021). The issue of aflatoxin contamination cannot be bypassed since it leads to health problems, economic depression, and social degradation.</w:t>
      </w:r>
    </w:p>
    <w:p w14:paraId="32E74815" w14:textId="600D7082" w:rsidR="00C33149" w:rsidRPr="00511F68" w:rsidRDefault="0025774C" w:rsidP="00204118">
      <w:pPr>
        <w:spacing w:line="480" w:lineRule="auto"/>
      </w:pPr>
      <w:r w:rsidRPr="0025774C">
        <w:rPr>
          <w:b/>
          <w:bCs/>
        </w:rPr>
        <w:lastRenderedPageBreak/>
        <w:t>Perpetuation of poverty and inequality</w:t>
      </w:r>
    </w:p>
    <w:p w14:paraId="4A101BEF" w14:textId="16A8DB4E" w:rsidR="00960753" w:rsidRDefault="00960753" w:rsidP="00960753">
      <w:pPr>
        <w:spacing w:line="480" w:lineRule="auto"/>
        <w:ind w:firstLine="720"/>
      </w:pPr>
      <w:r w:rsidRPr="00960753">
        <w:t xml:space="preserve">Aflatoxin poisoning is a major factor that exacerbates poverty and inequality in that such communities are marginal groups </w:t>
      </w:r>
      <w:r>
        <w:t xml:space="preserve">that </w:t>
      </w:r>
      <w:r w:rsidRPr="00960753">
        <w:t>are mostly affected by it. Crops are damaged</w:t>
      </w:r>
      <w:r>
        <w:t>,</w:t>
      </w:r>
      <w:r w:rsidRPr="00960753">
        <w:t xml:space="preserve"> and productivity is reduced</w:t>
      </w:r>
      <w:r>
        <w:t>,</w:t>
      </w:r>
      <w:r w:rsidRPr="00960753">
        <w:t xml:space="preserve"> thus leading to the loss of income and the increase of food insecurity, repeating the vicious cycle of poverty. Limited safe food access means weakened food security</w:t>
      </w:r>
      <w:r>
        <w:t>,</w:t>
      </w:r>
      <w:r w:rsidRPr="00960753">
        <w:t xml:space="preserve"> which results in health inequality, leading to poor health. The given sentence is a statement about the socio-economic position as the consequence of bad food security. As a priority, aflatoxin contamination eradication is a key to a breakthrough of the poverty cycle or to a social or economic equity leveling in the regions (Meijer et al. 2021). By developing Aflatoxin risk reduction strategies such as improved farming practices and food safety procedures, we can ensure livelihoods and lift the quality of life of the marginalized in society.</w:t>
      </w:r>
    </w:p>
    <w:p w14:paraId="22807A47" w14:textId="5FE7B367" w:rsidR="007E5986" w:rsidRPr="0025774C" w:rsidRDefault="007E5986" w:rsidP="00204118">
      <w:pPr>
        <w:spacing w:line="480" w:lineRule="auto"/>
        <w:jc w:val="center"/>
      </w:pPr>
      <w:r w:rsidRPr="0025774C">
        <w:rPr>
          <w:b/>
          <w:bCs/>
        </w:rPr>
        <w:t>Mitigation Strategies for Aflatoxin Hazards</w:t>
      </w:r>
    </w:p>
    <w:p w14:paraId="35DFBA47" w14:textId="7F97CB1B" w:rsidR="007E5986" w:rsidRPr="0025774C" w:rsidRDefault="007E5986" w:rsidP="00204118">
      <w:pPr>
        <w:spacing w:line="480" w:lineRule="auto"/>
        <w:rPr>
          <w:b/>
          <w:bCs/>
        </w:rPr>
      </w:pPr>
      <w:r w:rsidRPr="0025774C">
        <w:rPr>
          <w:b/>
          <w:bCs/>
        </w:rPr>
        <w:t>Good Agricultural Practices (GAPs)</w:t>
      </w:r>
    </w:p>
    <w:p w14:paraId="282046CC" w14:textId="0722D176" w:rsidR="0041492D" w:rsidRDefault="0041492D" w:rsidP="0041492D">
      <w:pPr>
        <w:spacing w:line="480" w:lineRule="auto"/>
        <w:ind w:firstLine="720"/>
      </w:pPr>
      <w:r w:rsidRPr="0041492D">
        <w:t>Adoption of stricter agricultural measures greatly helps in controlling aflatoxin contamination levels in food crops. These practices entail</w:t>
      </w:r>
      <w:r w:rsidR="006A15CC">
        <w:t>,</w:t>
      </w:r>
      <w:r w:rsidRPr="0041492D">
        <w:t xml:space="preserve"> among other measures, planting and harvesting at appropriate times, utilizing appropriate drying strategies</w:t>
      </w:r>
      <w:r w:rsidR="00B4747F">
        <w:t>,</w:t>
      </w:r>
      <w:r w:rsidRPr="0041492D">
        <w:t xml:space="preserve"> and using suitable storage facilities with controlled moisture content. Training </w:t>
      </w:r>
      <w:r w:rsidR="006A15CC">
        <w:t>farmers on good agricultural practices (GAPs) is important because it improves their understanding of aflatoxin prevention and</w:t>
      </w:r>
      <w:r w:rsidRPr="0041492D">
        <w:t xml:space="preserve"> makes them stick to the safety protocols (Meijer </w:t>
      </w:r>
      <w:r w:rsidR="00B4747F">
        <w:t>et al.</w:t>
      </w:r>
      <w:r w:rsidRPr="0041492D">
        <w:t xml:space="preserve"> 2021). Besides that, giving farmers access to suitable technologies and resources supports them to efficiently control pests and aflatoxigenic fungi at all process stages of agriculture, which ensures food safety and public health.</w:t>
      </w:r>
    </w:p>
    <w:p w14:paraId="4C538FFA" w14:textId="58F9C72E" w:rsidR="007E5986" w:rsidRDefault="007E5986" w:rsidP="00204118">
      <w:pPr>
        <w:spacing w:line="480" w:lineRule="auto"/>
      </w:pPr>
      <w:r w:rsidRPr="0025774C">
        <w:rPr>
          <w:b/>
          <w:bCs/>
        </w:rPr>
        <w:t>Post-Harvest Interventions</w:t>
      </w:r>
    </w:p>
    <w:p w14:paraId="33F231A3" w14:textId="6F67259F" w:rsidR="0041492D" w:rsidRDefault="0041492D" w:rsidP="00D722B6">
      <w:pPr>
        <w:spacing w:line="480" w:lineRule="auto"/>
        <w:ind w:firstLine="720"/>
      </w:pPr>
      <w:r w:rsidRPr="0041492D">
        <w:lastRenderedPageBreak/>
        <w:t>Post-harvest measures serve the purpose of eliminating aflatoxin contamination during storage and transportation of the commodity. Procedures of sorting, cleaning</w:t>
      </w:r>
      <w:r w:rsidR="00B4747F">
        <w:t>,</w:t>
      </w:r>
      <w:r w:rsidRPr="0041492D">
        <w:t xml:space="preserve"> and appropriate packaging must be carried out in a bid to reduce fungal growth and mycotoxin production in stored grains. Moreover, the use of biocontrol agents and chemical treatments with approval can successfully control the mycotoxin and aflatoxin contamination in stored grains and food products (Meijer et al. 2021). </w:t>
      </w:r>
      <w:r w:rsidR="000732D8" w:rsidRPr="000732D8">
        <w:t>The interventions will support the measures of food safety</w:t>
      </w:r>
      <w:r w:rsidR="006A15CC">
        <w:t>,</w:t>
      </w:r>
      <w:r w:rsidR="000732D8" w:rsidRPr="000732D8">
        <w:t xml:space="preserve"> targeting sources of aflatoxin during harvesting and</w:t>
      </w:r>
      <w:r w:rsidR="006A15CC">
        <w:t>,</w:t>
      </w:r>
      <w:r w:rsidR="000732D8" w:rsidRPr="000732D8">
        <w:t xml:space="preserve"> in the end</w:t>
      </w:r>
      <w:r w:rsidR="00B4747F">
        <w:t>,</w:t>
      </w:r>
      <w:r w:rsidR="000732D8" w:rsidRPr="000732D8">
        <w:t xml:space="preserve"> </w:t>
      </w:r>
      <w:r w:rsidR="00B4747F">
        <w:t>producing</w:t>
      </w:r>
      <w:r w:rsidR="000732D8" w:rsidRPr="000732D8">
        <w:t xml:space="preserve"> safe food to promote public health.</w:t>
      </w:r>
    </w:p>
    <w:p w14:paraId="3872030C" w14:textId="6191FB8B" w:rsidR="007E5986" w:rsidRPr="0025774C" w:rsidRDefault="007E5986" w:rsidP="00204118">
      <w:pPr>
        <w:spacing w:line="480" w:lineRule="auto"/>
        <w:rPr>
          <w:b/>
          <w:bCs/>
        </w:rPr>
      </w:pPr>
      <w:r w:rsidRPr="0025774C">
        <w:rPr>
          <w:b/>
          <w:bCs/>
        </w:rPr>
        <w:t>Regulatory Measures</w:t>
      </w:r>
    </w:p>
    <w:p w14:paraId="58E058E4" w14:textId="41969565" w:rsidR="000732D8" w:rsidRDefault="000732D8" w:rsidP="000732D8">
      <w:pPr>
        <w:spacing w:line="480" w:lineRule="auto"/>
        <w:ind w:firstLine="720"/>
      </w:pPr>
      <w:r w:rsidRPr="000732D8">
        <w:t xml:space="preserve">Governments and regulatory authorities carry important powers in assuring public health through the creation and enforcement of allowable aflatoxin levels. Maximum acceptable levels of aflatoxins put in food and feed and good testing and monitoring systems are important for the implementation of safety regulations. These standards act as a catalyst for industry actors to take measures that reduce risks of </w:t>
      </w:r>
      <w:r w:rsidR="00B4747F">
        <w:t>contamination</w:t>
      </w:r>
      <w:r w:rsidRPr="000732D8">
        <w:t>, hence improving food safety (Meijer et al. 2021). Moreover, adherence to the regulations ensures that the contaminated products are rapidly removed from the market</w:t>
      </w:r>
      <w:r w:rsidR="006A15CC">
        <w:t>,</w:t>
      </w:r>
      <w:r w:rsidRPr="000732D8">
        <w:t xml:space="preserve"> thus mitigating </w:t>
      </w:r>
      <w:r w:rsidR="00B4747F">
        <w:t xml:space="preserve">the </w:t>
      </w:r>
      <w:r w:rsidRPr="000732D8">
        <w:t xml:space="preserve">chances of consumers being exposed to aflatoxin </w:t>
      </w:r>
      <w:r w:rsidR="006A15CC">
        <w:t>and en</w:t>
      </w:r>
      <w:r w:rsidRPr="000732D8">
        <w:t>suring protection.</w:t>
      </w:r>
    </w:p>
    <w:p w14:paraId="2B724349" w14:textId="40398810" w:rsidR="007E5986" w:rsidRPr="0025774C" w:rsidRDefault="007E5986" w:rsidP="00204118">
      <w:pPr>
        <w:spacing w:line="480" w:lineRule="auto"/>
        <w:rPr>
          <w:b/>
          <w:bCs/>
        </w:rPr>
      </w:pPr>
      <w:r w:rsidRPr="0025774C">
        <w:rPr>
          <w:b/>
          <w:bCs/>
        </w:rPr>
        <w:t>Public Awareness and Education</w:t>
      </w:r>
    </w:p>
    <w:p w14:paraId="3C27214E" w14:textId="7E1D98C8" w:rsidR="000732D8" w:rsidRDefault="000732D8" w:rsidP="000732D8">
      <w:pPr>
        <w:spacing w:line="480" w:lineRule="auto"/>
        <w:ind w:firstLine="720"/>
      </w:pPr>
      <w:r w:rsidRPr="000732D8">
        <w:t xml:space="preserve">Consumer awareness creation, </w:t>
      </w:r>
      <w:r w:rsidR="00BC613B">
        <w:t xml:space="preserve">the </w:t>
      </w:r>
      <w:r w:rsidRPr="000732D8">
        <w:t>agricultural sector</w:t>
      </w:r>
      <w:r w:rsidR="00BC613B">
        <w:t>,</w:t>
      </w:r>
      <w:r w:rsidRPr="000732D8">
        <w:t xml:space="preserve"> and policymakers are the most critical </w:t>
      </w:r>
      <w:r w:rsidR="00BC613B">
        <w:t>elements</w:t>
      </w:r>
      <w:r w:rsidRPr="000732D8">
        <w:t xml:space="preserve"> in health measures promotion and positive safe-food culture development. Education programs bring out the right way of handling and storing safe aflatoxin methods and let people know aflatoxin exposure is dangerous to their health. These campaigns</w:t>
      </w:r>
      <w:r w:rsidR="006A15CC">
        <w:t>,</w:t>
      </w:r>
      <w:r w:rsidRPr="000732D8">
        <w:t xml:space="preserve"> </w:t>
      </w:r>
      <w:r w:rsidRPr="000732D8">
        <w:lastRenderedPageBreak/>
        <w:t>which advocate for knowledge of the same</w:t>
      </w:r>
      <w:r w:rsidR="006A15CC">
        <w:t>,</w:t>
      </w:r>
      <w:r w:rsidRPr="000732D8">
        <w:t xml:space="preserve"> enable individuals to make reasonable and informed choices about safe food and also push for safe food products (Meijer et al. 2021). In addition, more responsibility is taken by all the participants of the food supply chain on grounds of enhanced transparency. This ensures the activities in the supply chain are safe from the </w:t>
      </w:r>
      <w:r w:rsidR="00B4747F">
        <w:t>rise</w:t>
      </w:r>
      <w:r w:rsidRPr="000732D8">
        <w:t xml:space="preserve"> of health </w:t>
      </w:r>
      <w:r w:rsidR="00B4747F">
        <w:t>problems</w:t>
      </w:r>
      <w:r w:rsidRPr="000732D8">
        <w:t xml:space="preserve"> due to poor </w:t>
      </w:r>
      <w:r w:rsidR="00B4747F">
        <w:t>production</w:t>
      </w:r>
      <w:r w:rsidRPr="000732D8">
        <w:t>.</w:t>
      </w:r>
    </w:p>
    <w:p w14:paraId="4719A8F0" w14:textId="1FB4F85F" w:rsidR="007E5986" w:rsidRPr="0025774C" w:rsidRDefault="00204118" w:rsidP="00921CEB">
      <w:pPr>
        <w:spacing w:after="100" w:afterAutospacing="1" w:line="480" w:lineRule="auto"/>
        <w:rPr>
          <w:b/>
          <w:bCs/>
        </w:rPr>
      </w:pPr>
      <w:r>
        <w:rPr>
          <w:b/>
          <w:bCs/>
        </w:rPr>
        <w:t>Conclusion</w:t>
      </w:r>
    </w:p>
    <w:p w14:paraId="20C5C60D" w14:textId="6D5B265B" w:rsidR="0041492D" w:rsidRDefault="00B4747F" w:rsidP="00921CEB">
      <w:pPr>
        <w:spacing w:after="100" w:afterAutospacing="1" w:line="480" w:lineRule="auto"/>
        <w:ind w:firstLine="720"/>
      </w:pPr>
      <w:r>
        <w:t>Aflatoxin</w:t>
      </w:r>
      <w:r w:rsidR="000732D8" w:rsidRPr="000732D8">
        <w:t xml:space="preserve"> contamination is one of the main threats to the health of individuals all around the planet, which can be expressed in lethal poisoning, elevated risk of liver cancer</w:t>
      </w:r>
      <w:r>
        <w:t>,</w:t>
      </w:r>
      <w:r w:rsidR="000732D8" w:rsidRPr="000732D8">
        <w:t xml:space="preserve"> and growth retardation.</w:t>
      </w:r>
      <w:r w:rsidR="000732D8">
        <w:t xml:space="preserve"> </w:t>
      </w:r>
      <w:r>
        <w:t>Mitigation</w:t>
      </w:r>
      <w:r w:rsidR="0041492D" w:rsidRPr="0041492D">
        <w:t xml:space="preserve"> of aflatoxin dangers needs a multi-pronged approach that brings in agronomy, post-harvest interventions, regulatory measures</w:t>
      </w:r>
      <w:r>
        <w:t>,</w:t>
      </w:r>
      <w:r w:rsidR="0041492D" w:rsidRPr="0041492D">
        <w:t xml:space="preserve"> and awareness campaigns. To reduce aflatoxin contamination in the food chain and</w:t>
      </w:r>
      <w:r w:rsidR="006A15CC">
        <w:t>,</w:t>
      </w:r>
      <w:r w:rsidR="0041492D" w:rsidRPr="0041492D">
        <w:t xml:space="preserve"> in turn</w:t>
      </w:r>
      <w:r>
        <w:t>,</w:t>
      </w:r>
      <w:r w:rsidR="0041492D" w:rsidRPr="0041492D">
        <w:t xml:space="preserve"> minimize the resulting health problems, we have to put in place adequate management systems to prevent and control aflatoxin. Future aflatoxin management will rely heavily on the </w:t>
      </w:r>
      <w:r w:rsidR="006A15CC">
        <w:t>assuranc</w:t>
      </w:r>
      <w:r w:rsidR="0041492D" w:rsidRPr="0041492D">
        <w:t xml:space="preserve">e of ongoing research, collaboration, and investment to help maintain food safety and protect </w:t>
      </w:r>
      <w:r w:rsidR="00BC613B">
        <w:t>at-risk</w:t>
      </w:r>
      <w:r w:rsidR="0041492D" w:rsidRPr="0041492D">
        <w:t xml:space="preserve"> populations from the consequences of aflatoxin exposure.</w:t>
      </w:r>
    </w:p>
    <w:p w14:paraId="7CE475D2" w14:textId="77777777" w:rsidR="00F811A6" w:rsidRDefault="00F811A6" w:rsidP="00921CEB">
      <w:pPr>
        <w:spacing w:after="100" w:afterAutospacing="1" w:line="480" w:lineRule="auto"/>
      </w:pPr>
      <w:r>
        <w:br w:type="page"/>
      </w:r>
    </w:p>
    <w:p w14:paraId="6388E8B5" w14:textId="77777777" w:rsidR="00F811A6" w:rsidRDefault="00F811A6" w:rsidP="00104F57">
      <w:pPr>
        <w:spacing w:line="480" w:lineRule="auto"/>
        <w:ind w:left="720" w:right="720"/>
        <w:jc w:val="center"/>
        <w:rPr>
          <w:b/>
        </w:rPr>
      </w:pPr>
      <w:r w:rsidRPr="00611771">
        <w:rPr>
          <w:b/>
        </w:rPr>
        <w:lastRenderedPageBreak/>
        <w:t>References</w:t>
      </w:r>
    </w:p>
    <w:p w14:paraId="1C1DFDFD" w14:textId="6578386B" w:rsidR="00782C1C" w:rsidRDefault="000B3D54" w:rsidP="000B3D54">
      <w:pPr>
        <w:spacing w:line="480" w:lineRule="auto"/>
        <w:ind w:left="720" w:hanging="720"/>
      </w:pPr>
      <w:r w:rsidRPr="000B3D54">
        <w:t>Benkerroum, N. (2020). Chronic and acute toxicities of aflatoxins: Mechanisms of action. </w:t>
      </w:r>
      <w:r w:rsidRPr="000B3D54">
        <w:rPr>
          <w:i/>
          <w:iCs/>
        </w:rPr>
        <w:t>International journal of environmental research and public health</w:t>
      </w:r>
      <w:r w:rsidRPr="000B3D54">
        <w:t>, </w:t>
      </w:r>
      <w:r w:rsidRPr="000B3D54">
        <w:rPr>
          <w:i/>
          <w:iCs/>
        </w:rPr>
        <w:t>17</w:t>
      </w:r>
      <w:r w:rsidRPr="000B3D54">
        <w:t xml:space="preserve">(2), 423. </w:t>
      </w:r>
      <w:hyperlink r:id="rId7" w:history="1">
        <w:r w:rsidRPr="000B3D54">
          <w:rPr>
            <w:rStyle w:val="Hyperlink"/>
            <w:i/>
            <w:iCs/>
          </w:rPr>
          <w:t>https://www.mdpi.com/1660-4601/17/2/423</w:t>
        </w:r>
      </w:hyperlink>
      <w:r>
        <w:t xml:space="preserve"> </w:t>
      </w:r>
    </w:p>
    <w:p w14:paraId="3B63E66D" w14:textId="36A015C3" w:rsidR="001D3D45" w:rsidRDefault="001D3D45" w:rsidP="000B3D54">
      <w:pPr>
        <w:spacing w:line="480" w:lineRule="auto"/>
        <w:ind w:left="720" w:hanging="720"/>
      </w:pPr>
      <w:r w:rsidRPr="001D3D45">
        <w:t>Meijer, N., Kleter, G., de Nijs, M., Rau, M. L., Derkx, R., &amp; van der Fels‐Klerx, H. J. (2021). The aflatoxin situation in Africa: Systematic literature review. </w:t>
      </w:r>
      <w:r w:rsidRPr="001D3D45">
        <w:rPr>
          <w:i/>
          <w:iCs/>
        </w:rPr>
        <w:t>Comprehensive Reviews in Food Science and Food Safety</w:t>
      </w:r>
      <w:r w:rsidRPr="001D3D45">
        <w:t>, </w:t>
      </w:r>
      <w:r w:rsidRPr="001D3D45">
        <w:rPr>
          <w:i/>
          <w:iCs/>
        </w:rPr>
        <w:t>20</w:t>
      </w:r>
      <w:r w:rsidRPr="001D3D45">
        <w:t xml:space="preserve">(3), 2286-2304. </w:t>
      </w:r>
      <w:hyperlink r:id="rId8" w:history="1">
        <w:r w:rsidRPr="001D3D45">
          <w:rPr>
            <w:rStyle w:val="Hyperlink"/>
            <w:i/>
            <w:iCs/>
          </w:rPr>
          <w:t>https://ift.onlinelibrary.wiley.com/doi/abs/10.1111/1541-4337.12731</w:t>
        </w:r>
      </w:hyperlink>
      <w:r>
        <w:t xml:space="preserve"> </w:t>
      </w:r>
    </w:p>
    <w:p w14:paraId="71219660" w14:textId="77777777" w:rsidR="001D3D45" w:rsidRDefault="001D3D45" w:rsidP="000B3D54">
      <w:pPr>
        <w:spacing w:line="480" w:lineRule="auto"/>
        <w:ind w:left="720" w:hanging="720"/>
      </w:pPr>
    </w:p>
    <w:sectPr w:rsidR="001D3D4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98B47" w14:textId="77777777" w:rsidR="00454B9F" w:rsidRDefault="00454B9F" w:rsidP="00921CEB">
      <w:pPr>
        <w:spacing w:after="0" w:line="240" w:lineRule="auto"/>
      </w:pPr>
      <w:r>
        <w:separator/>
      </w:r>
    </w:p>
  </w:endnote>
  <w:endnote w:type="continuationSeparator" w:id="0">
    <w:p w14:paraId="419C3186" w14:textId="77777777" w:rsidR="00454B9F" w:rsidRDefault="00454B9F" w:rsidP="0092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3478C" w14:textId="77777777" w:rsidR="00454B9F" w:rsidRDefault="00454B9F" w:rsidP="00921CEB">
      <w:pPr>
        <w:spacing w:after="0" w:line="240" w:lineRule="auto"/>
      </w:pPr>
      <w:r>
        <w:separator/>
      </w:r>
    </w:p>
  </w:footnote>
  <w:footnote w:type="continuationSeparator" w:id="0">
    <w:p w14:paraId="00C2033C" w14:textId="77777777" w:rsidR="00454B9F" w:rsidRDefault="00454B9F" w:rsidP="00921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89871"/>
      <w:docPartObj>
        <w:docPartGallery w:val="Page Numbers (Top of Page)"/>
        <w:docPartUnique/>
      </w:docPartObj>
    </w:sdtPr>
    <w:sdtEndPr>
      <w:rPr>
        <w:noProof/>
      </w:rPr>
    </w:sdtEndPr>
    <w:sdtContent>
      <w:p w14:paraId="7156347A" w14:textId="5BCE47B0" w:rsidR="00921CEB" w:rsidRDefault="00921CEB">
        <w:pPr>
          <w:pStyle w:val="Header"/>
          <w:jc w:val="right"/>
        </w:pPr>
        <w:r>
          <w:fldChar w:fldCharType="begin"/>
        </w:r>
        <w:r>
          <w:instrText xml:space="preserve"> PAGE   \* MERGEFORMAT </w:instrText>
        </w:r>
        <w:r>
          <w:fldChar w:fldCharType="separate"/>
        </w:r>
        <w:r w:rsidR="00960753">
          <w:rPr>
            <w:noProof/>
          </w:rPr>
          <w:t>5</w:t>
        </w:r>
        <w:r>
          <w:rPr>
            <w:noProof/>
          </w:rPr>
          <w:fldChar w:fldCharType="end"/>
        </w:r>
      </w:p>
    </w:sdtContent>
  </w:sdt>
  <w:p w14:paraId="36917C4B" w14:textId="4C0337AE" w:rsidR="00921CEB" w:rsidRDefault="00921C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wNDMyMLI0NTUyNbVU0lEKTi0uzszPAykwrgUAetCDJCwAAAA="/>
  </w:docVars>
  <w:rsids>
    <w:rsidRoot w:val="007E5986"/>
    <w:rsid w:val="00066B4F"/>
    <w:rsid w:val="00073154"/>
    <w:rsid w:val="000732D8"/>
    <w:rsid w:val="000815C0"/>
    <w:rsid w:val="000B3D54"/>
    <w:rsid w:val="00104F57"/>
    <w:rsid w:val="0013226C"/>
    <w:rsid w:val="00172D2C"/>
    <w:rsid w:val="001D3D45"/>
    <w:rsid w:val="00204118"/>
    <w:rsid w:val="0025774C"/>
    <w:rsid w:val="002A05B4"/>
    <w:rsid w:val="002B0152"/>
    <w:rsid w:val="002F6EFB"/>
    <w:rsid w:val="0041492D"/>
    <w:rsid w:val="00454B9F"/>
    <w:rsid w:val="0045719F"/>
    <w:rsid w:val="004F478A"/>
    <w:rsid w:val="0050148F"/>
    <w:rsid w:val="00511F68"/>
    <w:rsid w:val="00660DF6"/>
    <w:rsid w:val="006809F1"/>
    <w:rsid w:val="006A15CC"/>
    <w:rsid w:val="00755E2F"/>
    <w:rsid w:val="00782C1C"/>
    <w:rsid w:val="007E5986"/>
    <w:rsid w:val="00846058"/>
    <w:rsid w:val="00921CEB"/>
    <w:rsid w:val="00960753"/>
    <w:rsid w:val="00A14197"/>
    <w:rsid w:val="00B4747F"/>
    <w:rsid w:val="00BC613B"/>
    <w:rsid w:val="00C33149"/>
    <w:rsid w:val="00C34916"/>
    <w:rsid w:val="00CA7174"/>
    <w:rsid w:val="00D722B6"/>
    <w:rsid w:val="00E34CB9"/>
    <w:rsid w:val="00EC45BF"/>
    <w:rsid w:val="00EE1EA9"/>
    <w:rsid w:val="00EF587A"/>
    <w:rsid w:val="00F811A6"/>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5E3C4"/>
  <w15:docId w15:val="{0D743164-BA69-4B1B-B1FB-957B1AFE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D54"/>
    <w:rPr>
      <w:color w:val="0563C1" w:themeColor="hyperlink"/>
      <w:u w:val="single"/>
    </w:rPr>
  </w:style>
  <w:style w:type="character" w:customStyle="1" w:styleId="UnresolvedMention1">
    <w:name w:val="Unresolved Mention1"/>
    <w:basedOn w:val="DefaultParagraphFont"/>
    <w:uiPriority w:val="99"/>
    <w:semiHidden/>
    <w:unhideWhenUsed/>
    <w:rsid w:val="000B3D54"/>
    <w:rPr>
      <w:color w:val="605E5C"/>
      <w:shd w:val="clear" w:color="auto" w:fill="E1DFDD"/>
    </w:rPr>
  </w:style>
  <w:style w:type="paragraph" w:styleId="Header">
    <w:name w:val="header"/>
    <w:basedOn w:val="Normal"/>
    <w:link w:val="HeaderChar"/>
    <w:uiPriority w:val="99"/>
    <w:unhideWhenUsed/>
    <w:rsid w:val="00921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CEB"/>
  </w:style>
  <w:style w:type="paragraph" w:styleId="Footer">
    <w:name w:val="footer"/>
    <w:basedOn w:val="Normal"/>
    <w:link w:val="FooterChar"/>
    <w:uiPriority w:val="99"/>
    <w:unhideWhenUsed/>
    <w:rsid w:val="00921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CEB"/>
  </w:style>
  <w:style w:type="character" w:styleId="FollowedHyperlink">
    <w:name w:val="FollowedHyperlink"/>
    <w:basedOn w:val="DefaultParagraphFont"/>
    <w:uiPriority w:val="99"/>
    <w:semiHidden/>
    <w:unhideWhenUsed/>
    <w:rsid w:val="00921C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6472">
      <w:bodyDiv w:val="1"/>
      <w:marLeft w:val="0"/>
      <w:marRight w:val="0"/>
      <w:marTop w:val="0"/>
      <w:marBottom w:val="0"/>
      <w:divBdr>
        <w:top w:val="none" w:sz="0" w:space="0" w:color="auto"/>
        <w:left w:val="none" w:sz="0" w:space="0" w:color="auto"/>
        <w:bottom w:val="none" w:sz="0" w:space="0" w:color="auto"/>
        <w:right w:val="none" w:sz="0" w:space="0" w:color="auto"/>
      </w:divBdr>
      <w:divsChild>
        <w:div w:id="1955821692">
          <w:marLeft w:val="0"/>
          <w:marRight w:val="0"/>
          <w:marTop w:val="0"/>
          <w:marBottom w:val="0"/>
          <w:divBdr>
            <w:top w:val="single" w:sz="6" w:space="0" w:color="auto"/>
            <w:left w:val="single" w:sz="6" w:space="0" w:color="auto"/>
            <w:bottom w:val="single" w:sz="6" w:space="0" w:color="auto"/>
            <w:right w:val="single" w:sz="6" w:space="0" w:color="auto"/>
          </w:divBdr>
        </w:div>
      </w:divsChild>
    </w:div>
    <w:div w:id="1374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665673">
          <w:marLeft w:val="0"/>
          <w:marRight w:val="0"/>
          <w:marTop w:val="0"/>
          <w:marBottom w:val="0"/>
          <w:divBdr>
            <w:top w:val="single" w:sz="6" w:space="0" w:color="auto"/>
            <w:left w:val="single" w:sz="6" w:space="0" w:color="auto"/>
            <w:bottom w:val="single" w:sz="6" w:space="0" w:color="auto"/>
            <w:right w:val="single" w:sz="6" w:space="0" w:color="auto"/>
          </w:divBdr>
        </w:div>
      </w:divsChild>
    </w:div>
    <w:div w:id="141890711">
      <w:bodyDiv w:val="1"/>
      <w:marLeft w:val="0"/>
      <w:marRight w:val="0"/>
      <w:marTop w:val="0"/>
      <w:marBottom w:val="0"/>
      <w:divBdr>
        <w:top w:val="none" w:sz="0" w:space="0" w:color="auto"/>
        <w:left w:val="none" w:sz="0" w:space="0" w:color="auto"/>
        <w:bottom w:val="none" w:sz="0" w:space="0" w:color="auto"/>
        <w:right w:val="none" w:sz="0" w:space="0" w:color="auto"/>
      </w:divBdr>
      <w:divsChild>
        <w:div w:id="339744967">
          <w:marLeft w:val="0"/>
          <w:marRight w:val="0"/>
          <w:marTop w:val="0"/>
          <w:marBottom w:val="0"/>
          <w:divBdr>
            <w:top w:val="single" w:sz="6" w:space="0" w:color="auto"/>
            <w:left w:val="single" w:sz="6" w:space="0" w:color="auto"/>
            <w:bottom w:val="single" w:sz="6" w:space="0" w:color="auto"/>
            <w:right w:val="single" w:sz="6" w:space="0" w:color="auto"/>
          </w:divBdr>
        </w:div>
      </w:divsChild>
    </w:div>
    <w:div w:id="514808791">
      <w:bodyDiv w:val="1"/>
      <w:marLeft w:val="0"/>
      <w:marRight w:val="0"/>
      <w:marTop w:val="0"/>
      <w:marBottom w:val="0"/>
      <w:divBdr>
        <w:top w:val="none" w:sz="0" w:space="0" w:color="auto"/>
        <w:left w:val="none" w:sz="0" w:space="0" w:color="auto"/>
        <w:bottom w:val="none" w:sz="0" w:space="0" w:color="auto"/>
        <w:right w:val="none" w:sz="0" w:space="0" w:color="auto"/>
      </w:divBdr>
      <w:divsChild>
        <w:div w:id="596904949">
          <w:marLeft w:val="0"/>
          <w:marRight w:val="0"/>
          <w:marTop w:val="0"/>
          <w:marBottom w:val="0"/>
          <w:divBdr>
            <w:top w:val="single" w:sz="6" w:space="0" w:color="auto"/>
            <w:left w:val="single" w:sz="6" w:space="0" w:color="auto"/>
            <w:bottom w:val="single" w:sz="6" w:space="0" w:color="auto"/>
            <w:right w:val="single" w:sz="6" w:space="0" w:color="auto"/>
          </w:divBdr>
        </w:div>
      </w:divsChild>
    </w:div>
    <w:div w:id="544146010">
      <w:bodyDiv w:val="1"/>
      <w:marLeft w:val="0"/>
      <w:marRight w:val="0"/>
      <w:marTop w:val="0"/>
      <w:marBottom w:val="0"/>
      <w:divBdr>
        <w:top w:val="none" w:sz="0" w:space="0" w:color="auto"/>
        <w:left w:val="none" w:sz="0" w:space="0" w:color="auto"/>
        <w:bottom w:val="none" w:sz="0" w:space="0" w:color="auto"/>
        <w:right w:val="none" w:sz="0" w:space="0" w:color="auto"/>
      </w:divBdr>
      <w:divsChild>
        <w:div w:id="1750343436">
          <w:marLeft w:val="0"/>
          <w:marRight w:val="0"/>
          <w:marTop w:val="0"/>
          <w:marBottom w:val="0"/>
          <w:divBdr>
            <w:top w:val="single" w:sz="6" w:space="0" w:color="auto"/>
            <w:left w:val="single" w:sz="6" w:space="0" w:color="auto"/>
            <w:bottom w:val="single" w:sz="6" w:space="0" w:color="auto"/>
            <w:right w:val="single" w:sz="6" w:space="0" w:color="auto"/>
          </w:divBdr>
        </w:div>
      </w:divsChild>
    </w:div>
    <w:div w:id="857545506">
      <w:bodyDiv w:val="1"/>
      <w:marLeft w:val="0"/>
      <w:marRight w:val="0"/>
      <w:marTop w:val="0"/>
      <w:marBottom w:val="0"/>
      <w:divBdr>
        <w:top w:val="none" w:sz="0" w:space="0" w:color="auto"/>
        <w:left w:val="none" w:sz="0" w:space="0" w:color="auto"/>
        <w:bottom w:val="none" w:sz="0" w:space="0" w:color="auto"/>
        <w:right w:val="none" w:sz="0" w:space="0" w:color="auto"/>
      </w:divBdr>
      <w:divsChild>
        <w:div w:id="629943391">
          <w:marLeft w:val="0"/>
          <w:marRight w:val="0"/>
          <w:marTop w:val="0"/>
          <w:marBottom w:val="0"/>
          <w:divBdr>
            <w:top w:val="single" w:sz="6" w:space="0" w:color="auto"/>
            <w:left w:val="single" w:sz="6" w:space="0" w:color="auto"/>
            <w:bottom w:val="single" w:sz="6" w:space="0" w:color="auto"/>
            <w:right w:val="single" w:sz="6" w:space="0" w:color="auto"/>
          </w:divBdr>
        </w:div>
      </w:divsChild>
    </w:div>
    <w:div w:id="965083139">
      <w:bodyDiv w:val="1"/>
      <w:marLeft w:val="0"/>
      <w:marRight w:val="0"/>
      <w:marTop w:val="0"/>
      <w:marBottom w:val="0"/>
      <w:divBdr>
        <w:top w:val="none" w:sz="0" w:space="0" w:color="auto"/>
        <w:left w:val="none" w:sz="0" w:space="0" w:color="auto"/>
        <w:bottom w:val="none" w:sz="0" w:space="0" w:color="auto"/>
        <w:right w:val="none" w:sz="0" w:space="0" w:color="auto"/>
      </w:divBdr>
      <w:divsChild>
        <w:div w:id="2123844643">
          <w:marLeft w:val="0"/>
          <w:marRight w:val="0"/>
          <w:marTop w:val="0"/>
          <w:marBottom w:val="0"/>
          <w:divBdr>
            <w:top w:val="single" w:sz="6" w:space="0" w:color="auto"/>
            <w:left w:val="single" w:sz="6" w:space="0" w:color="auto"/>
            <w:bottom w:val="single" w:sz="6" w:space="0" w:color="auto"/>
            <w:right w:val="single" w:sz="6" w:space="0" w:color="auto"/>
          </w:divBdr>
        </w:div>
      </w:divsChild>
    </w:div>
    <w:div w:id="1363215238">
      <w:bodyDiv w:val="1"/>
      <w:marLeft w:val="0"/>
      <w:marRight w:val="0"/>
      <w:marTop w:val="0"/>
      <w:marBottom w:val="0"/>
      <w:divBdr>
        <w:top w:val="none" w:sz="0" w:space="0" w:color="auto"/>
        <w:left w:val="none" w:sz="0" w:space="0" w:color="auto"/>
        <w:bottom w:val="none" w:sz="0" w:space="0" w:color="auto"/>
        <w:right w:val="none" w:sz="0" w:space="0" w:color="auto"/>
      </w:divBdr>
      <w:divsChild>
        <w:div w:id="841237418">
          <w:marLeft w:val="0"/>
          <w:marRight w:val="0"/>
          <w:marTop w:val="0"/>
          <w:marBottom w:val="0"/>
          <w:divBdr>
            <w:top w:val="single" w:sz="6" w:space="0" w:color="auto"/>
            <w:left w:val="single" w:sz="6" w:space="0" w:color="auto"/>
            <w:bottom w:val="single" w:sz="6" w:space="0" w:color="auto"/>
            <w:right w:val="single" w:sz="6" w:space="0" w:color="auto"/>
          </w:divBdr>
        </w:div>
      </w:divsChild>
    </w:div>
    <w:div w:id="1633243870">
      <w:bodyDiv w:val="1"/>
      <w:marLeft w:val="0"/>
      <w:marRight w:val="0"/>
      <w:marTop w:val="0"/>
      <w:marBottom w:val="0"/>
      <w:divBdr>
        <w:top w:val="none" w:sz="0" w:space="0" w:color="auto"/>
        <w:left w:val="none" w:sz="0" w:space="0" w:color="auto"/>
        <w:bottom w:val="none" w:sz="0" w:space="0" w:color="auto"/>
        <w:right w:val="none" w:sz="0" w:space="0" w:color="auto"/>
      </w:divBdr>
      <w:divsChild>
        <w:div w:id="1466192238">
          <w:marLeft w:val="0"/>
          <w:marRight w:val="0"/>
          <w:marTop w:val="0"/>
          <w:marBottom w:val="0"/>
          <w:divBdr>
            <w:top w:val="single" w:sz="6" w:space="0" w:color="auto"/>
            <w:left w:val="single" w:sz="6" w:space="0" w:color="auto"/>
            <w:bottom w:val="single" w:sz="6" w:space="0" w:color="auto"/>
            <w:right w:val="single" w:sz="6" w:space="0" w:color="auto"/>
          </w:divBdr>
        </w:div>
      </w:divsChild>
    </w:div>
    <w:div w:id="1637753617">
      <w:bodyDiv w:val="1"/>
      <w:marLeft w:val="0"/>
      <w:marRight w:val="0"/>
      <w:marTop w:val="0"/>
      <w:marBottom w:val="0"/>
      <w:divBdr>
        <w:top w:val="none" w:sz="0" w:space="0" w:color="auto"/>
        <w:left w:val="none" w:sz="0" w:space="0" w:color="auto"/>
        <w:bottom w:val="none" w:sz="0" w:space="0" w:color="auto"/>
        <w:right w:val="none" w:sz="0" w:space="0" w:color="auto"/>
      </w:divBdr>
      <w:divsChild>
        <w:div w:id="856113828">
          <w:marLeft w:val="0"/>
          <w:marRight w:val="0"/>
          <w:marTop w:val="0"/>
          <w:marBottom w:val="0"/>
          <w:divBdr>
            <w:top w:val="single" w:sz="6" w:space="0" w:color="auto"/>
            <w:left w:val="single" w:sz="6" w:space="0" w:color="auto"/>
            <w:bottom w:val="single" w:sz="6" w:space="0" w:color="auto"/>
            <w:right w:val="single" w:sz="6" w:space="0" w:color="auto"/>
          </w:divBdr>
        </w:div>
      </w:divsChild>
    </w:div>
    <w:div w:id="1732583890">
      <w:bodyDiv w:val="1"/>
      <w:marLeft w:val="0"/>
      <w:marRight w:val="0"/>
      <w:marTop w:val="0"/>
      <w:marBottom w:val="0"/>
      <w:divBdr>
        <w:top w:val="none" w:sz="0" w:space="0" w:color="auto"/>
        <w:left w:val="none" w:sz="0" w:space="0" w:color="auto"/>
        <w:bottom w:val="none" w:sz="0" w:space="0" w:color="auto"/>
        <w:right w:val="none" w:sz="0" w:space="0" w:color="auto"/>
      </w:divBdr>
      <w:divsChild>
        <w:div w:id="576667827">
          <w:marLeft w:val="0"/>
          <w:marRight w:val="0"/>
          <w:marTop w:val="0"/>
          <w:marBottom w:val="0"/>
          <w:divBdr>
            <w:top w:val="single" w:sz="6" w:space="0" w:color="auto"/>
            <w:left w:val="single" w:sz="6" w:space="0" w:color="auto"/>
            <w:bottom w:val="single" w:sz="6" w:space="0" w:color="auto"/>
            <w:right w:val="single" w:sz="6" w:space="0" w:color="auto"/>
          </w:divBdr>
        </w:div>
      </w:divsChild>
    </w:div>
    <w:div w:id="1831361454">
      <w:bodyDiv w:val="1"/>
      <w:marLeft w:val="0"/>
      <w:marRight w:val="0"/>
      <w:marTop w:val="0"/>
      <w:marBottom w:val="0"/>
      <w:divBdr>
        <w:top w:val="none" w:sz="0" w:space="0" w:color="auto"/>
        <w:left w:val="none" w:sz="0" w:space="0" w:color="auto"/>
        <w:bottom w:val="none" w:sz="0" w:space="0" w:color="auto"/>
        <w:right w:val="none" w:sz="0" w:space="0" w:color="auto"/>
      </w:divBdr>
      <w:divsChild>
        <w:div w:id="113715793">
          <w:marLeft w:val="0"/>
          <w:marRight w:val="0"/>
          <w:marTop w:val="0"/>
          <w:marBottom w:val="0"/>
          <w:divBdr>
            <w:top w:val="single" w:sz="6" w:space="0" w:color="auto"/>
            <w:left w:val="single" w:sz="6" w:space="0" w:color="auto"/>
            <w:bottom w:val="single" w:sz="6" w:space="0" w:color="auto"/>
            <w:right w:val="single" w:sz="6" w:space="0" w:color="auto"/>
          </w:divBdr>
        </w:div>
      </w:divsChild>
    </w:div>
    <w:div w:id="1838687349">
      <w:bodyDiv w:val="1"/>
      <w:marLeft w:val="0"/>
      <w:marRight w:val="0"/>
      <w:marTop w:val="0"/>
      <w:marBottom w:val="0"/>
      <w:divBdr>
        <w:top w:val="none" w:sz="0" w:space="0" w:color="auto"/>
        <w:left w:val="none" w:sz="0" w:space="0" w:color="auto"/>
        <w:bottom w:val="none" w:sz="0" w:space="0" w:color="auto"/>
        <w:right w:val="none" w:sz="0" w:space="0" w:color="auto"/>
      </w:divBdr>
      <w:divsChild>
        <w:div w:id="301928894">
          <w:marLeft w:val="0"/>
          <w:marRight w:val="0"/>
          <w:marTop w:val="0"/>
          <w:marBottom w:val="0"/>
          <w:divBdr>
            <w:top w:val="single" w:sz="6" w:space="0" w:color="auto"/>
            <w:left w:val="single" w:sz="6" w:space="0" w:color="auto"/>
            <w:bottom w:val="single" w:sz="6" w:space="0" w:color="auto"/>
            <w:right w:val="single" w:sz="6" w:space="0" w:color="auto"/>
          </w:divBdr>
        </w:div>
      </w:divsChild>
    </w:div>
    <w:div w:id="1866094217">
      <w:bodyDiv w:val="1"/>
      <w:marLeft w:val="0"/>
      <w:marRight w:val="0"/>
      <w:marTop w:val="0"/>
      <w:marBottom w:val="0"/>
      <w:divBdr>
        <w:top w:val="none" w:sz="0" w:space="0" w:color="auto"/>
        <w:left w:val="none" w:sz="0" w:space="0" w:color="auto"/>
        <w:bottom w:val="none" w:sz="0" w:space="0" w:color="auto"/>
        <w:right w:val="none" w:sz="0" w:space="0" w:color="auto"/>
      </w:divBdr>
      <w:divsChild>
        <w:div w:id="790246096">
          <w:marLeft w:val="0"/>
          <w:marRight w:val="0"/>
          <w:marTop w:val="0"/>
          <w:marBottom w:val="0"/>
          <w:divBdr>
            <w:top w:val="single" w:sz="6" w:space="0" w:color="auto"/>
            <w:left w:val="single" w:sz="6" w:space="0" w:color="auto"/>
            <w:bottom w:val="single" w:sz="6" w:space="0" w:color="auto"/>
            <w:right w:val="single" w:sz="6" w:space="0" w:color="auto"/>
          </w:divBdr>
        </w:div>
      </w:divsChild>
    </w:div>
    <w:div w:id="2082437628">
      <w:bodyDiv w:val="1"/>
      <w:marLeft w:val="0"/>
      <w:marRight w:val="0"/>
      <w:marTop w:val="0"/>
      <w:marBottom w:val="0"/>
      <w:divBdr>
        <w:top w:val="none" w:sz="0" w:space="0" w:color="auto"/>
        <w:left w:val="none" w:sz="0" w:space="0" w:color="auto"/>
        <w:bottom w:val="none" w:sz="0" w:space="0" w:color="auto"/>
        <w:right w:val="none" w:sz="0" w:space="0" w:color="auto"/>
      </w:divBdr>
      <w:divsChild>
        <w:div w:id="375083119">
          <w:marLeft w:val="0"/>
          <w:marRight w:val="0"/>
          <w:marTop w:val="0"/>
          <w:marBottom w:val="0"/>
          <w:divBdr>
            <w:top w:val="single" w:sz="6" w:space="0" w:color="auto"/>
            <w:left w:val="single" w:sz="6" w:space="0" w:color="auto"/>
            <w:bottom w:val="single" w:sz="6" w:space="0" w:color="auto"/>
            <w:right w:val="single" w:sz="6"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t.onlinelibrary.wiley.com/doi/abs/10.1111/1541-4337.12731" TargetMode="External"/><Relationship Id="rId3" Type="http://schemas.openxmlformats.org/officeDocument/2006/relationships/settings" Target="settings.xml"/><Relationship Id="rId7" Type="http://schemas.openxmlformats.org/officeDocument/2006/relationships/hyperlink" Target="https://www.mdpi.com/1660-4601/17/2/4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75F5-07FD-47CD-8B65-C00CA63C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manuko</dc:creator>
  <cp:keywords/>
  <dc:description/>
  <cp:lastModifiedBy>Admin</cp:lastModifiedBy>
  <cp:revision>6</cp:revision>
  <dcterms:created xsi:type="dcterms:W3CDTF">2024-02-21T18:41:00Z</dcterms:created>
  <dcterms:modified xsi:type="dcterms:W3CDTF">2024-02-21T19:26:00Z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5a1a8806-99b0-4e60-95f5-ba7ed3b9e3bb</vt:lpwstr>
  </property>
</Properties>
</file>